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0E556" w14:textId="77777777" w:rsidR="00E15FD4" w:rsidRPr="00877E22" w:rsidRDefault="00887D61" w:rsidP="009F4F29">
      <w:pPr>
        <w:jc w:val="center"/>
        <w:outlineLvl w:val="0"/>
        <w:rPr>
          <w:rFonts w:ascii="Cambria" w:hAnsi="Cambria"/>
          <w:b/>
        </w:rPr>
      </w:pPr>
      <w:r w:rsidRPr="00877E22">
        <w:rPr>
          <w:rFonts w:ascii="Cambria" w:hAnsi="Cambria"/>
          <w:b/>
        </w:rPr>
        <w:t>Come vanno inquadrati i rider?</w:t>
      </w:r>
    </w:p>
    <w:p w14:paraId="1A5AE265" w14:textId="77777777" w:rsidR="00AD46A0" w:rsidRPr="00877E22" w:rsidRDefault="00887D61" w:rsidP="009F4F29">
      <w:pPr>
        <w:jc w:val="center"/>
        <w:outlineLvl w:val="0"/>
        <w:rPr>
          <w:rFonts w:ascii="Cambria" w:hAnsi="Cambria"/>
          <w:b/>
        </w:rPr>
      </w:pPr>
      <w:r w:rsidRPr="00877E22">
        <w:rPr>
          <w:rFonts w:ascii="Cambria" w:hAnsi="Cambria"/>
          <w:b/>
        </w:rPr>
        <w:t xml:space="preserve">Commento alla sentenza </w:t>
      </w:r>
      <w:proofErr w:type="gramStart"/>
      <w:r w:rsidRPr="00877E22">
        <w:rPr>
          <w:rFonts w:ascii="Cambria" w:hAnsi="Cambria"/>
          <w:b/>
        </w:rPr>
        <w:t>del  Tribunale</w:t>
      </w:r>
      <w:proofErr w:type="gramEnd"/>
      <w:r w:rsidRPr="00877E22">
        <w:rPr>
          <w:rFonts w:ascii="Cambria" w:hAnsi="Cambria"/>
          <w:b/>
        </w:rPr>
        <w:t xml:space="preserve"> di Palermo del 24.11.2020</w:t>
      </w:r>
    </w:p>
    <w:p w14:paraId="2BAC017A" w14:textId="77777777" w:rsidR="007F2EAD" w:rsidRPr="00877E22" w:rsidRDefault="007F2EAD" w:rsidP="007F2EAD">
      <w:pPr>
        <w:jc w:val="center"/>
        <w:rPr>
          <w:rFonts w:ascii="Cambria" w:hAnsi="Cambria"/>
          <w:b/>
        </w:rPr>
      </w:pPr>
    </w:p>
    <w:p w14:paraId="00C1756C" w14:textId="3620E69D" w:rsidR="007F2EAD" w:rsidRPr="00877E22" w:rsidRDefault="00D0792A" w:rsidP="00C34F88">
      <w:pPr>
        <w:spacing w:line="276" w:lineRule="auto"/>
        <w:jc w:val="both"/>
        <w:rPr>
          <w:rFonts w:ascii="Cambria" w:hAnsi="Cambria"/>
        </w:rPr>
      </w:pPr>
      <w:r w:rsidRPr="00877E22">
        <w:rPr>
          <w:rFonts w:ascii="Cambria" w:hAnsi="Cambria"/>
        </w:rPr>
        <w:t>La sentenza con cui il T</w:t>
      </w:r>
      <w:r w:rsidR="008219DA" w:rsidRPr="00877E22">
        <w:rPr>
          <w:rFonts w:ascii="Cambria" w:hAnsi="Cambria"/>
        </w:rPr>
        <w:t xml:space="preserve">ribunale di Palermo </w:t>
      </w:r>
      <w:r w:rsidRPr="00877E22">
        <w:rPr>
          <w:rFonts w:ascii="Cambria" w:hAnsi="Cambria"/>
        </w:rPr>
        <w:t xml:space="preserve">inquadra il rider come lavoratore </w:t>
      </w:r>
      <w:proofErr w:type="gramStart"/>
      <w:r w:rsidRPr="00877E22">
        <w:rPr>
          <w:rFonts w:ascii="Cambria" w:hAnsi="Cambria"/>
        </w:rPr>
        <w:t xml:space="preserve">subordinato  </w:t>
      </w:r>
      <w:r w:rsidR="00C1742E" w:rsidRPr="00877E22">
        <w:rPr>
          <w:rFonts w:ascii="Cambria" w:hAnsi="Cambria"/>
        </w:rPr>
        <w:t>si</w:t>
      </w:r>
      <w:proofErr w:type="gramEnd"/>
      <w:r w:rsidR="00C1742E" w:rsidRPr="00877E22">
        <w:rPr>
          <w:rFonts w:ascii="Cambria" w:hAnsi="Cambria"/>
        </w:rPr>
        <w:t xml:space="preserve"> inserisce in un serratissimo confronto </w:t>
      </w:r>
      <w:r w:rsidR="00FE3967">
        <w:rPr>
          <w:rFonts w:ascii="Cambria" w:hAnsi="Cambria"/>
        </w:rPr>
        <w:t xml:space="preserve">sulla </w:t>
      </w:r>
      <w:r w:rsidR="00AF3E38">
        <w:rPr>
          <w:rFonts w:ascii="Cambria" w:hAnsi="Cambria"/>
        </w:rPr>
        <w:t>“</w:t>
      </w:r>
      <w:r w:rsidR="00FE3967">
        <w:rPr>
          <w:rFonts w:ascii="Cambria" w:hAnsi="Cambria"/>
        </w:rPr>
        <w:t>qualificazione del rapporto</w:t>
      </w:r>
      <w:r w:rsidR="00AF3E38">
        <w:rPr>
          <w:rFonts w:ascii="Cambria" w:hAnsi="Cambria"/>
        </w:rPr>
        <w:t>”</w:t>
      </w:r>
      <w:r w:rsidR="00FE3967">
        <w:rPr>
          <w:rFonts w:ascii="Cambria" w:hAnsi="Cambria"/>
        </w:rPr>
        <w:t xml:space="preserve"> </w:t>
      </w:r>
      <w:r w:rsidR="00C1742E" w:rsidRPr="00877E22">
        <w:rPr>
          <w:rFonts w:ascii="Cambria" w:hAnsi="Cambria"/>
        </w:rPr>
        <w:t xml:space="preserve">che coinvolge, oltre che gli studiosi di diritto del lavoro,  la giurisprudenza nei suoi diversi gradi, le Piattaforme, le parti sociali, il legislatore, l’Ufficio Legislativo del Ministro del lavoro, e persino i Tribunali penali. </w:t>
      </w:r>
    </w:p>
    <w:p w14:paraId="18C26A62" w14:textId="77777777" w:rsidR="00C1742E" w:rsidRDefault="00C1742E" w:rsidP="00C34F88">
      <w:pPr>
        <w:spacing w:line="276" w:lineRule="auto"/>
        <w:jc w:val="both"/>
        <w:rPr>
          <w:rFonts w:ascii="Cambria" w:hAnsi="Cambria"/>
        </w:rPr>
      </w:pPr>
      <w:r w:rsidRPr="00877E22">
        <w:rPr>
          <w:rFonts w:ascii="Cambria" w:hAnsi="Cambria"/>
        </w:rPr>
        <w:t xml:space="preserve">Le Piattaforme, come è noto, </w:t>
      </w:r>
      <w:r w:rsidR="006F7963" w:rsidRPr="00877E22">
        <w:rPr>
          <w:rFonts w:ascii="Cambria" w:hAnsi="Cambria"/>
        </w:rPr>
        <w:t>salve alcune eccezioni</w:t>
      </w:r>
      <w:r w:rsidR="006F7963" w:rsidRPr="00877E22">
        <w:rPr>
          <w:rStyle w:val="Rimandonotaapidipagina"/>
          <w:rFonts w:ascii="Cambria" w:hAnsi="Cambria"/>
          <w:sz w:val="20"/>
          <w:szCs w:val="20"/>
        </w:rPr>
        <w:footnoteReference w:id="1"/>
      </w:r>
      <w:r w:rsidR="00877E22">
        <w:rPr>
          <w:rFonts w:ascii="Cambria" w:hAnsi="Cambria"/>
        </w:rPr>
        <w:t xml:space="preserve">, tendono ad inquadrare i </w:t>
      </w:r>
      <w:proofErr w:type="spellStart"/>
      <w:r w:rsidR="00877E22">
        <w:rPr>
          <w:rFonts w:ascii="Cambria" w:hAnsi="Cambria"/>
        </w:rPr>
        <w:t>ciclofattorini</w:t>
      </w:r>
      <w:proofErr w:type="spellEnd"/>
      <w:r w:rsidR="00877E22">
        <w:rPr>
          <w:rFonts w:ascii="Cambria" w:hAnsi="Cambria"/>
        </w:rPr>
        <w:t xml:space="preserve"> come “lavoratori autonomi”.</w:t>
      </w:r>
    </w:p>
    <w:p w14:paraId="7577E347" w14:textId="410B7BC3" w:rsidR="00877E22" w:rsidRDefault="00877E22" w:rsidP="00C34F88">
      <w:pPr>
        <w:spacing w:line="276" w:lineRule="auto"/>
        <w:jc w:val="both"/>
        <w:rPr>
          <w:rFonts w:ascii="Cambria" w:hAnsi="Cambria"/>
        </w:rPr>
      </w:pPr>
      <w:r>
        <w:rPr>
          <w:rFonts w:ascii="Cambria" w:hAnsi="Cambria"/>
        </w:rPr>
        <w:t xml:space="preserve">In una causa promossa da alcuni “collaboratori” di </w:t>
      </w:r>
      <w:proofErr w:type="spellStart"/>
      <w:r w:rsidR="00AF3E38">
        <w:rPr>
          <w:rFonts w:ascii="Cambria" w:hAnsi="Cambria"/>
        </w:rPr>
        <w:t>Foodora</w:t>
      </w:r>
      <w:proofErr w:type="spellEnd"/>
      <w:r>
        <w:rPr>
          <w:rFonts w:ascii="Cambria" w:hAnsi="Cambria"/>
        </w:rPr>
        <w:t xml:space="preserve"> </w:t>
      </w:r>
      <w:r w:rsidR="00AF3E38">
        <w:rPr>
          <w:rFonts w:ascii="Cambria" w:hAnsi="Cambria"/>
        </w:rPr>
        <w:t>i</w:t>
      </w:r>
      <w:r>
        <w:rPr>
          <w:rFonts w:ascii="Cambria" w:hAnsi="Cambria"/>
        </w:rPr>
        <w:t xml:space="preserve">l Tribunale di Torino aveva </w:t>
      </w:r>
      <w:r w:rsidR="00AF3E38">
        <w:rPr>
          <w:rFonts w:ascii="Cambria" w:hAnsi="Cambria"/>
        </w:rPr>
        <w:t>sposato la tesi aziendale</w:t>
      </w:r>
      <w:r>
        <w:rPr>
          <w:rFonts w:ascii="Cambria" w:hAnsi="Cambria"/>
        </w:rPr>
        <w:t>, ma la decisione era stata riformata dalla Corte d’Appello di Torino, che li aveva invece considerati una “via di mezzo” (</w:t>
      </w:r>
      <w:proofErr w:type="spellStart"/>
      <w:r w:rsidRPr="00877E22">
        <w:rPr>
          <w:rFonts w:ascii="Cambria" w:hAnsi="Cambria"/>
          <w:i/>
        </w:rPr>
        <w:t>tertium</w:t>
      </w:r>
      <w:proofErr w:type="spellEnd"/>
      <w:r w:rsidRPr="00877E22">
        <w:rPr>
          <w:rFonts w:ascii="Cambria" w:hAnsi="Cambria"/>
          <w:i/>
        </w:rPr>
        <w:t xml:space="preserve"> </w:t>
      </w:r>
      <w:proofErr w:type="spellStart"/>
      <w:r w:rsidRPr="00877E22">
        <w:rPr>
          <w:rFonts w:ascii="Cambria" w:hAnsi="Cambria"/>
          <w:i/>
        </w:rPr>
        <w:t>genus</w:t>
      </w:r>
      <w:proofErr w:type="spellEnd"/>
      <w:r>
        <w:rPr>
          <w:rFonts w:ascii="Cambria" w:hAnsi="Cambria"/>
        </w:rPr>
        <w:t>) tra autonomi e subordinati.</w:t>
      </w:r>
    </w:p>
    <w:p w14:paraId="2DB48A1B" w14:textId="389E5E65" w:rsidR="00AF3E38" w:rsidRDefault="00877E22" w:rsidP="00C34F88">
      <w:pPr>
        <w:spacing w:line="276" w:lineRule="auto"/>
        <w:jc w:val="both"/>
        <w:rPr>
          <w:rStyle w:val="Nessuno"/>
          <w:rFonts w:ascii="Cambria" w:hAnsi="Cambria"/>
        </w:rPr>
      </w:pPr>
      <w:r w:rsidRPr="00AF3E38">
        <w:rPr>
          <w:rFonts w:ascii="Cambria" w:hAnsi="Cambria"/>
        </w:rPr>
        <w:t xml:space="preserve">Con ancora maggiore puntualità era poi intervenuta la Corte di Cassazione con la </w:t>
      </w:r>
      <w:r w:rsidRPr="00AF3E38">
        <w:rPr>
          <w:rStyle w:val="Nessuno"/>
          <w:rFonts w:ascii="Cambria" w:hAnsi="Cambria"/>
        </w:rPr>
        <w:t>nota sentenza n. 1663/2020, la quale</w:t>
      </w:r>
      <w:r w:rsidR="00D92CE2" w:rsidRPr="00AF3E38">
        <w:rPr>
          <w:rStyle w:val="Nessuno"/>
          <w:rFonts w:ascii="Cambria" w:hAnsi="Cambria"/>
        </w:rPr>
        <w:t>, a fronte degli argomenti che mettono in evidenza, ad esempio</w:t>
      </w:r>
      <w:r w:rsidR="009F4F29">
        <w:rPr>
          <w:rStyle w:val="Nessuno"/>
          <w:rFonts w:ascii="Cambria" w:hAnsi="Cambria"/>
        </w:rPr>
        <w:t>,</w:t>
      </w:r>
      <w:r w:rsidR="00D92CE2" w:rsidRPr="00AF3E38">
        <w:rPr>
          <w:rStyle w:val="Nessuno"/>
          <w:rFonts w:ascii="Cambria" w:hAnsi="Cambria"/>
        </w:rPr>
        <w:t xml:space="preserve">  la po</w:t>
      </w:r>
      <w:r w:rsidR="009265E7">
        <w:rPr>
          <w:rStyle w:val="Nessuno"/>
          <w:rFonts w:ascii="Cambria" w:hAnsi="Cambria"/>
        </w:rPr>
        <w:t>ssibilità del rider</w:t>
      </w:r>
      <w:r w:rsidR="00D92CE2" w:rsidRPr="00AF3E38">
        <w:rPr>
          <w:rStyle w:val="Nessuno"/>
          <w:rFonts w:ascii="Cambria" w:hAnsi="Cambria"/>
        </w:rPr>
        <w:t xml:space="preserve"> di rifiutare le chiamate, distingue la</w:t>
      </w:r>
      <w:r w:rsidR="00AF3E38" w:rsidRPr="00AF3E38">
        <w:rPr>
          <w:rStyle w:val="Nessuno"/>
          <w:rFonts w:ascii="Cambria" w:hAnsi="Cambria"/>
        </w:rPr>
        <w:t xml:space="preserve"> fase in cui il rapporto sorge (anche se - in ipotesi - “battezzato” come autonomo) </w:t>
      </w:r>
      <w:r w:rsidR="00F813D7">
        <w:rPr>
          <w:rStyle w:val="Nessuno"/>
          <w:rFonts w:ascii="Cambria" w:hAnsi="Cambria"/>
        </w:rPr>
        <w:t>caratterizzata dalle “libertà”</w:t>
      </w:r>
      <w:r w:rsidR="00F813D7">
        <w:rPr>
          <w:rStyle w:val="Rimandonotaapidipagina"/>
          <w:rFonts w:ascii="Cambria" w:hAnsi="Cambria"/>
        </w:rPr>
        <w:footnoteReference w:id="2"/>
      </w:r>
      <w:r w:rsidR="00F813D7">
        <w:rPr>
          <w:rStyle w:val="Nessuno"/>
          <w:rFonts w:ascii="Cambria" w:hAnsi="Cambria"/>
        </w:rPr>
        <w:t xml:space="preserve"> </w:t>
      </w:r>
      <w:r w:rsidR="003A62A9">
        <w:rPr>
          <w:rStyle w:val="Nessuno"/>
          <w:rFonts w:ascii="Cambria" w:hAnsi="Cambria"/>
        </w:rPr>
        <w:t xml:space="preserve"> </w:t>
      </w:r>
      <w:r w:rsidR="00AF3E38" w:rsidRPr="00AF3E38">
        <w:rPr>
          <w:rStyle w:val="Nessuno"/>
          <w:rFonts w:ascii="Cambria" w:hAnsi="Cambria"/>
        </w:rPr>
        <w:t xml:space="preserve">da quella in cui si esegue la prestazione, </w:t>
      </w:r>
      <w:r w:rsidR="00FE0186">
        <w:rPr>
          <w:rStyle w:val="Nessuno"/>
          <w:rFonts w:ascii="Cambria" w:hAnsi="Cambria"/>
        </w:rPr>
        <w:t xml:space="preserve">caratterizzata </w:t>
      </w:r>
      <w:r w:rsidR="00352EB0">
        <w:rPr>
          <w:rStyle w:val="Nessuno"/>
          <w:rFonts w:ascii="Cambria" w:hAnsi="Cambria"/>
        </w:rPr>
        <w:t xml:space="preserve">da tutti i comportamenti vincolati che vanno dalla presa in consegna del prodotto al suo recapito, </w:t>
      </w:r>
      <w:r w:rsidR="00AF3E38" w:rsidRPr="00AF3E38">
        <w:rPr>
          <w:rStyle w:val="Nessuno"/>
          <w:rFonts w:ascii="Cambria" w:hAnsi="Cambria"/>
        </w:rPr>
        <w:t xml:space="preserve">precisando che </w:t>
      </w:r>
      <w:r w:rsidRPr="00AF3E38">
        <w:rPr>
          <w:rStyle w:val="Nessuno"/>
          <w:rFonts w:ascii="Cambria" w:hAnsi="Cambria"/>
        </w:rPr>
        <w:t xml:space="preserve"> gli elementi che danno luogo ad una “</w:t>
      </w:r>
      <w:r w:rsidRPr="00AF3E38">
        <w:rPr>
          <w:rStyle w:val="Nessuno"/>
          <w:rFonts w:ascii="Cambria" w:hAnsi="Cambria"/>
          <w:i/>
          <w:iCs/>
        </w:rPr>
        <w:t xml:space="preserve">autonomia del lavoratore nella </w:t>
      </w:r>
      <w:r w:rsidRPr="003A62A9">
        <w:rPr>
          <w:rStyle w:val="Nessuno"/>
          <w:rFonts w:ascii="Cambria" w:hAnsi="Cambria"/>
          <w:b/>
          <w:i/>
          <w:iCs/>
        </w:rPr>
        <w:t>fase genetica</w:t>
      </w:r>
      <w:r w:rsidRPr="00AF3E38">
        <w:rPr>
          <w:rStyle w:val="Nessuno"/>
          <w:rFonts w:ascii="Cambria" w:hAnsi="Cambria"/>
          <w:i/>
          <w:iCs/>
        </w:rPr>
        <w:t xml:space="preserve"> del rapporto, per la (…) mera facoltà dello stesso ad obbligarsi alla prestazione, </w:t>
      </w:r>
      <w:r w:rsidRPr="00AF3E38">
        <w:rPr>
          <w:rStyle w:val="Nessuno"/>
          <w:rFonts w:ascii="Cambria" w:hAnsi="Cambria"/>
          <w:i/>
          <w:iCs/>
          <w:u w:val="single"/>
        </w:rPr>
        <w:t xml:space="preserve">non valgono a revocare in dubbio il requisito della etero-organizzazione nella </w:t>
      </w:r>
      <w:r w:rsidRPr="003A62A9">
        <w:rPr>
          <w:rStyle w:val="Nessuno"/>
          <w:rFonts w:ascii="Cambria" w:hAnsi="Cambria"/>
          <w:b/>
          <w:i/>
          <w:iCs/>
          <w:u w:val="single"/>
        </w:rPr>
        <w:t>fase funzionale</w:t>
      </w:r>
      <w:r w:rsidRPr="00AF3E38">
        <w:rPr>
          <w:rStyle w:val="Nessuno"/>
          <w:rFonts w:ascii="Cambria" w:hAnsi="Cambria"/>
          <w:i/>
          <w:iCs/>
          <w:u w:val="single"/>
        </w:rPr>
        <w:t xml:space="preserve"> di esecuzione del rapporto</w:t>
      </w:r>
      <w:r w:rsidRPr="00AF3E38">
        <w:rPr>
          <w:rStyle w:val="Nessuno"/>
          <w:rFonts w:ascii="Cambria" w:hAnsi="Cambria"/>
          <w:i/>
          <w:iCs/>
        </w:rPr>
        <w:t>, determinante per la sua riconduzione alla fattispecie astratta di cui all’art. 2, comma 1, d.lgs. n. 81 del 2015</w:t>
      </w:r>
      <w:r w:rsidRPr="00AF3E38">
        <w:rPr>
          <w:rStyle w:val="Nessuno"/>
          <w:rFonts w:ascii="Cambria" w:hAnsi="Cambria"/>
        </w:rPr>
        <w:t>”.</w:t>
      </w:r>
    </w:p>
    <w:p w14:paraId="5F7B4C0F" w14:textId="77777777" w:rsidR="001F6B0B" w:rsidRPr="001F6B0B" w:rsidRDefault="00AF3E38" w:rsidP="00C34F88">
      <w:pPr>
        <w:spacing w:line="276" w:lineRule="auto"/>
        <w:jc w:val="both"/>
        <w:rPr>
          <w:rFonts w:ascii="Cambria" w:hAnsi="Cambria"/>
        </w:rPr>
      </w:pPr>
      <w:r w:rsidRPr="001F6B0B">
        <w:rPr>
          <w:rStyle w:val="Nessuno"/>
          <w:rFonts w:ascii="Cambria" w:hAnsi="Cambria"/>
        </w:rPr>
        <w:t>La norma richiamata dalla Corte</w:t>
      </w:r>
      <w:r w:rsidR="00D919E2" w:rsidRPr="001F6B0B">
        <w:rPr>
          <w:rStyle w:val="Nessuno"/>
          <w:rFonts w:ascii="Cambria" w:hAnsi="Cambria"/>
        </w:rPr>
        <w:t xml:space="preserve">, dalla rubrica </w:t>
      </w:r>
      <w:r w:rsidR="00D919E2" w:rsidRPr="001F6B0B">
        <w:rPr>
          <w:rFonts w:ascii="Cambria" w:hAnsi="Cambria"/>
          <w:i/>
        </w:rPr>
        <w:t>Collaborazioni organizzate dal committente</w:t>
      </w:r>
      <w:r w:rsidRPr="001F6B0B">
        <w:rPr>
          <w:rStyle w:val="Nessuno"/>
          <w:rFonts w:ascii="Cambria" w:hAnsi="Cambria"/>
        </w:rPr>
        <w:t>, g</w:t>
      </w:r>
      <w:r w:rsidR="00D919E2" w:rsidRPr="001F6B0B">
        <w:rPr>
          <w:rStyle w:val="Nessuno"/>
          <w:rFonts w:ascii="Cambria" w:hAnsi="Cambria"/>
        </w:rPr>
        <w:t xml:space="preserve">ià nella sua versione originale - </w:t>
      </w:r>
      <w:r w:rsidRPr="001F6B0B">
        <w:rPr>
          <w:rStyle w:val="Nessuno"/>
          <w:rFonts w:ascii="Cambria" w:hAnsi="Cambria"/>
        </w:rPr>
        <w:t xml:space="preserve"> </w:t>
      </w:r>
      <w:r w:rsidR="00877E22" w:rsidRPr="001F6B0B">
        <w:rPr>
          <w:rStyle w:val="Nessuno"/>
          <w:rFonts w:ascii="Cambria" w:hAnsi="Cambria"/>
        </w:rPr>
        <w:t xml:space="preserve"> </w:t>
      </w:r>
      <w:r w:rsidR="00D919E2" w:rsidRPr="001F6B0B">
        <w:rPr>
          <w:rStyle w:val="Nessuno"/>
          <w:rFonts w:ascii="Cambria" w:hAnsi="Cambria"/>
        </w:rPr>
        <w:t xml:space="preserve">ed ancor più </w:t>
      </w:r>
      <w:r w:rsidR="00877E22" w:rsidRPr="001F6B0B">
        <w:rPr>
          <w:rFonts w:ascii="Cambria" w:hAnsi="Cambria"/>
        </w:rPr>
        <w:t xml:space="preserve">nel testo modificato dal D.L. 3 settembre 2019, n. 101 </w:t>
      </w:r>
      <w:r w:rsidR="00877E22" w:rsidRPr="001F6B0B">
        <w:rPr>
          <w:rFonts w:ascii="Cambria" w:hAnsi="Cambria"/>
          <w:bCs/>
          <w:bdr w:val="none" w:sz="0" w:space="0" w:color="auto" w:frame="1"/>
        </w:rPr>
        <w:t>coordinato con la legge di con</w:t>
      </w:r>
      <w:r w:rsidR="00D919E2" w:rsidRPr="001F6B0B">
        <w:rPr>
          <w:rFonts w:ascii="Cambria" w:hAnsi="Cambria"/>
          <w:bCs/>
          <w:bdr w:val="none" w:sz="0" w:space="0" w:color="auto" w:frame="1"/>
        </w:rPr>
        <w:t xml:space="preserve">versione 2 novembre 2019, n. </w:t>
      </w:r>
      <w:proofErr w:type="gramStart"/>
      <w:r w:rsidR="00D919E2" w:rsidRPr="001F6B0B">
        <w:rPr>
          <w:rFonts w:ascii="Cambria" w:hAnsi="Cambria"/>
          <w:bCs/>
          <w:bdr w:val="none" w:sz="0" w:space="0" w:color="auto" w:frame="1"/>
        </w:rPr>
        <w:t xml:space="preserve">12 </w:t>
      </w:r>
      <w:r w:rsidR="00877E22" w:rsidRPr="001F6B0B">
        <w:rPr>
          <w:rFonts w:ascii="Cambria" w:hAnsi="Cambria"/>
          <w:bCs/>
          <w:bdr w:val="none" w:sz="0" w:space="0" w:color="auto" w:frame="1"/>
        </w:rPr>
        <w:t>,</w:t>
      </w:r>
      <w:proofErr w:type="gramEnd"/>
      <w:r w:rsidR="00877E22" w:rsidRPr="001F6B0B">
        <w:rPr>
          <w:rFonts w:ascii="Cambria" w:hAnsi="Cambria"/>
          <w:bCs/>
          <w:bdr w:val="none" w:sz="0" w:space="0" w:color="auto" w:frame="1"/>
        </w:rPr>
        <w:t xml:space="preserve"> </w:t>
      </w:r>
      <w:r w:rsidR="00877E22" w:rsidRPr="001F6B0B">
        <w:rPr>
          <w:rFonts w:ascii="Cambria" w:hAnsi="Cambria"/>
        </w:rPr>
        <w:t>al comma 1</w:t>
      </w:r>
      <w:r w:rsidR="00D919E2" w:rsidRPr="001F6B0B">
        <w:rPr>
          <w:rFonts w:ascii="Cambria" w:hAnsi="Cambria"/>
        </w:rPr>
        <w:t xml:space="preserve"> – contiene una piccola rivoluzione che, </w:t>
      </w:r>
      <w:r w:rsidR="00D919E2" w:rsidRPr="00D3410C">
        <w:rPr>
          <w:rFonts w:ascii="Cambria" w:hAnsi="Cambria"/>
          <w:u w:val="single"/>
        </w:rPr>
        <w:t>sotto il profilo degli  effetti pratici</w:t>
      </w:r>
      <w:r w:rsidR="001F6B0B" w:rsidRPr="001F6B0B">
        <w:rPr>
          <w:rFonts w:ascii="Cambria" w:hAnsi="Cambria"/>
        </w:rPr>
        <w:t>,  rende meno essenziale ottenere una pronuncia che accerti la subordinazione.</w:t>
      </w:r>
    </w:p>
    <w:p w14:paraId="0E227C64" w14:textId="09E98921" w:rsidR="00877E22" w:rsidRPr="001F6B0B" w:rsidRDefault="001F6B0B" w:rsidP="00C34F88">
      <w:pPr>
        <w:spacing w:line="276" w:lineRule="auto"/>
        <w:jc w:val="both"/>
        <w:rPr>
          <w:rFonts w:ascii="Cambria" w:hAnsi="Cambria"/>
        </w:rPr>
      </w:pPr>
      <w:r w:rsidRPr="001F6B0B">
        <w:rPr>
          <w:rFonts w:ascii="Cambria" w:hAnsi="Cambria"/>
        </w:rPr>
        <w:t xml:space="preserve">Recita infatti l’art. 2 comma </w:t>
      </w:r>
      <w:proofErr w:type="gramStart"/>
      <w:r w:rsidRPr="001F6B0B">
        <w:rPr>
          <w:rFonts w:ascii="Cambria" w:hAnsi="Cambria"/>
        </w:rPr>
        <w:t xml:space="preserve">1 </w:t>
      </w:r>
      <w:r>
        <w:rPr>
          <w:rFonts w:ascii="Cambria" w:hAnsi="Cambria"/>
        </w:rPr>
        <w:t>:</w:t>
      </w:r>
      <w:proofErr w:type="gramEnd"/>
      <w:r>
        <w:rPr>
          <w:rFonts w:ascii="Cambria" w:hAnsi="Cambria"/>
        </w:rPr>
        <w:t xml:space="preserve"> </w:t>
      </w:r>
      <w:r w:rsidR="00877E22" w:rsidRPr="001F6B0B">
        <w:rPr>
          <w:rFonts w:ascii="Cambria" w:hAnsi="Cambria"/>
        </w:rPr>
        <w:t xml:space="preserve"> “</w:t>
      </w:r>
      <w:r w:rsidR="00877E22" w:rsidRPr="001F6B0B">
        <w:rPr>
          <w:rFonts w:ascii="Cambria" w:hAnsi="Cambria"/>
          <w:i/>
        </w:rPr>
        <w:t xml:space="preserve">A far data dal 1° gennaio 2016, </w:t>
      </w:r>
      <w:r w:rsidR="00877E22" w:rsidRPr="001F6B0B">
        <w:rPr>
          <w:rFonts w:ascii="Cambria" w:hAnsi="Cambria"/>
          <w:b/>
          <w:i/>
        </w:rPr>
        <w:t>si applica la disciplina del rapporto di lavoro subordinato</w:t>
      </w:r>
      <w:r w:rsidR="00877E22" w:rsidRPr="001F6B0B">
        <w:rPr>
          <w:rFonts w:ascii="Cambria" w:hAnsi="Cambria"/>
          <w:i/>
        </w:rPr>
        <w:t xml:space="preserve"> anche ai rapporti di collaborazione che si concretano in prestazioni di lavoro prevalentemente personali, continuative e le cui modalità di esecuzione sono organizzate dal committente. Le disposizioni di cui al presente comma si applicano anche qualora le modalità di esecuzione della prestazione siano organizzate mediante piattaforme anche digitali</w:t>
      </w:r>
      <w:r w:rsidR="00877E22" w:rsidRPr="001F6B0B">
        <w:rPr>
          <w:rFonts w:ascii="Cambria" w:hAnsi="Cambria"/>
        </w:rPr>
        <w:t>”.</w:t>
      </w:r>
    </w:p>
    <w:p w14:paraId="5C0ABE46" w14:textId="38D8E1EE" w:rsidR="00877E22" w:rsidRPr="00011FBA" w:rsidRDefault="00877E22" w:rsidP="00C34F88">
      <w:pPr>
        <w:pStyle w:val="Testodelblocco"/>
        <w:tabs>
          <w:tab w:val="clear" w:pos="8505"/>
        </w:tabs>
        <w:spacing w:line="276" w:lineRule="auto"/>
        <w:ind w:left="0" w:right="-7"/>
        <w:rPr>
          <w:rFonts w:ascii="Cambria" w:hAnsi="Cambria"/>
          <w:szCs w:val="24"/>
        </w:rPr>
      </w:pPr>
      <w:r w:rsidRPr="00011FBA">
        <w:rPr>
          <w:rFonts w:ascii="Cambria" w:hAnsi="Cambria"/>
          <w:szCs w:val="24"/>
        </w:rPr>
        <w:t>L</w:t>
      </w:r>
      <w:r w:rsidR="001F6B0B" w:rsidRPr="00011FBA">
        <w:rPr>
          <w:rFonts w:ascii="Cambria" w:hAnsi="Cambria"/>
          <w:szCs w:val="24"/>
        </w:rPr>
        <w:t xml:space="preserve">e modifiche in vigore da poco più di un anno hanno </w:t>
      </w:r>
      <w:r w:rsidRPr="00011FBA">
        <w:rPr>
          <w:rFonts w:ascii="Cambria" w:hAnsi="Cambria"/>
          <w:szCs w:val="24"/>
        </w:rPr>
        <w:t xml:space="preserve">ulteriormente </w:t>
      </w:r>
      <w:r w:rsidR="001F6B0B" w:rsidRPr="00011FBA">
        <w:rPr>
          <w:rFonts w:ascii="Cambria" w:hAnsi="Cambria"/>
          <w:szCs w:val="24"/>
        </w:rPr>
        <w:t xml:space="preserve">ampliato </w:t>
      </w:r>
      <w:r w:rsidRPr="00011FBA">
        <w:rPr>
          <w:rFonts w:ascii="Cambria" w:hAnsi="Cambria"/>
          <w:szCs w:val="24"/>
        </w:rPr>
        <w:t>il rag</w:t>
      </w:r>
      <w:r w:rsidR="001F6B0B" w:rsidRPr="00011FBA">
        <w:rPr>
          <w:rFonts w:ascii="Cambria" w:hAnsi="Cambria"/>
          <w:szCs w:val="24"/>
        </w:rPr>
        <w:t>gio di applicazione della norma</w:t>
      </w:r>
      <w:r w:rsidRPr="00011FBA">
        <w:rPr>
          <w:rFonts w:ascii="Cambria" w:hAnsi="Cambria"/>
          <w:szCs w:val="24"/>
        </w:rPr>
        <w:t>,</w:t>
      </w:r>
      <w:r w:rsidR="001F6B0B" w:rsidRPr="00011FBA">
        <w:rPr>
          <w:rFonts w:ascii="Cambria" w:hAnsi="Cambria"/>
          <w:szCs w:val="24"/>
        </w:rPr>
        <w:t xml:space="preserve"> da un lato eliminando</w:t>
      </w:r>
      <w:r w:rsidRPr="00011FBA">
        <w:rPr>
          <w:rFonts w:ascii="Cambria" w:hAnsi="Cambria"/>
          <w:szCs w:val="24"/>
        </w:rPr>
        <w:t xml:space="preserve"> il precedente riferimento al </w:t>
      </w:r>
      <w:r w:rsidRPr="00011FBA">
        <w:rPr>
          <w:rFonts w:ascii="Cambria" w:hAnsi="Cambria"/>
          <w:i/>
          <w:szCs w:val="24"/>
        </w:rPr>
        <w:t>tempo e al luogo della prestazione</w:t>
      </w:r>
      <w:r w:rsidRPr="00011FBA">
        <w:rPr>
          <w:rFonts w:ascii="Cambria" w:hAnsi="Cambria"/>
          <w:szCs w:val="24"/>
        </w:rPr>
        <w:t xml:space="preserve"> e, </w:t>
      </w:r>
      <w:r w:rsidR="001F6B0B" w:rsidRPr="00011FBA">
        <w:rPr>
          <w:rFonts w:ascii="Cambria" w:hAnsi="Cambria"/>
          <w:szCs w:val="24"/>
        </w:rPr>
        <w:t>dall’altro,</w:t>
      </w:r>
      <w:r w:rsidRPr="00011FBA">
        <w:rPr>
          <w:rFonts w:ascii="Cambria" w:hAnsi="Cambria"/>
          <w:szCs w:val="24"/>
        </w:rPr>
        <w:t xml:space="preserve"> esplicita</w:t>
      </w:r>
      <w:r w:rsidR="001F6B0B" w:rsidRPr="00011FBA">
        <w:rPr>
          <w:rFonts w:ascii="Cambria" w:hAnsi="Cambria"/>
          <w:szCs w:val="24"/>
        </w:rPr>
        <w:t>ndo</w:t>
      </w:r>
      <w:r w:rsidRPr="00011FBA">
        <w:rPr>
          <w:rFonts w:ascii="Cambria" w:hAnsi="Cambria"/>
          <w:szCs w:val="24"/>
        </w:rPr>
        <w:t xml:space="preserve"> </w:t>
      </w:r>
      <w:r w:rsidR="001F6B0B" w:rsidRPr="00011FBA">
        <w:rPr>
          <w:rFonts w:ascii="Cambria" w:hAnsi="Cambria"/>
          <w:szCs w:val="24"/>
        </w:rPr>
        <w:t xml:space="preserve">che </w:t>
      </w:r>
      <w:r w:rsidRPr="00011FBA">
        <w:rPr>
          <w:rFonts w:ascii="Cambria" w:hAnsi="Cambria"/>
          <w:szCs w:val="24"/>
        </w:rPr>
        <w:t xml:space="preserve">la collaborazione etero-organizzata ben possa sussistere nel caso di </w:t>
      </w:r>
      <w:r w:rsidRPr="00011FBA">
        <w:rPr>
          <w:rFonts w:ascii="Cambria" w:hAnsi="Cambria"/>
          <w:i/>
          <w:szCs w:val="24"/>
        </w:rPr>
        <w:t>lavoro mediato da piattaforme digitali</w:t>
      </w:r>
      <w:r w:rsidR="001F6B0B" w:rsidRPr="00011FBA">
        <w:rPr>
          <w:rFonts w:ascii="Cambria" w:hAnsi="Cambria"/>
          <w:szCs w:val="24"/>
        </w:rPr>
        <w:t xml:space="preserve"> (conclusione alla quale era pervenuta comunque la Corte di Cassazione nel 2020 basandosi sul vecchio testo)</w:t>
      </w:r>
      <w:r w:rsidR="00D3410C">
        <w:rPr>
          <w:rFonts w:ascii="Cambria" w:hAnsi="Cambria"/>
          <w:szCs w:val="24"/>
        </w:rPr>
        <w:t>.</w:t>
      </w:r>
      <w:r w:rsidR="001F6B0B" w:rsidRPr="00011FBA">
        <w:rPr>
          <w:rFonts w:ascii="Cambria" w:hAnsi="Cambria"/>
          <w:szCs w:val="24"/>
        </w:rPr>
        <w:t xml:space="preserve"> </w:t>
      </w:r>
    </w:p>
    <w:p w14:paraId="64BC2D50" w14:textId="7966FFEA" w:rsidR="00877E22" w:rsidRDefault="001F6B0B" w:rsidP="00C34F88">
      <w:pPr>
        <w:pStyle w:val="Testodelblocco"/>
        <w:tabs>
          <w:tab w:val="clear" w:pos="8505"/>
        </w:tabs>
        <w:spacing w:line="276" w:lineRule="auto"/>
        <w:ind w:left="0" w:right="-7"/>
        <w:rPr>
          <w:rStyle w:val="Nessuno"/>
          <w:rFonts w:ascii="Cambria" w:hAnsi="Cambria"/>
          <w:color w:val="000000"/>
          <w:szCs w:val="24"/>
        </w:rPr>
      </w:pPr>
      <w:r w:rsidRPr="00011FBA">
        <w:rPr>
          <w:rFonts w:ascii="Cambria" w:hAnsi="Cambria"/>
          <w:szCs w:val="24"/>
        </w:rPr>
        <w:lastRenderedPageBreak/>
        <w:t>A</w:t>
      </w:r>
      <w:r w:rsidR="00877E22" w:rsidRPr="00011FBA">
        <w:rPr>
          <w:rStyle w:val="Nessuno"/>
          <w:rFonts w:ascii="Cambria" w:hAnsi="Cambria"/>
          <w:szCs w:val="24"/>
        </w:rPr>
        <w:t>lle collaborazioni</w:t>
      </w:r>
      <w:r w:rsidRPr="00011FBA">
        <w:rPr>
          <w:rStyle w:val="Nessuno"/>
          <w:rFonts w:ascii="Cambria" w:hAnsi="Cambria"/>
          <w:szCs w:val="24"/>
        </w:rPr>
        <w:t xml:space="preserve"> “autonome” </w:t>
      </w:r>
      <w:r w:rsidR="00011FBA" w:rsidRPr="00011FBA">
        <w:rPr>
          <w:rStyle w:val="Nessuno"/>
          <w:rFonts w:ascii="Cambria" w:hAnsi="Cambria"/>
          <w:szCs w:val="24"/>
        </w:rPr>
        <w:t>si applicano tutte le disposizioni del lavoro subordinato in presenza di tre requisiti</w:t>
      </w:r>
      <w:r w:rsidR="00011FBA" w:rsidRPr="00011FBA">
        <w:rPr>
          <w:rStyle w:val="Nessuno"/>
          <w:rFonts w:ascii="Cambria" w:hAnsi="Cambria"/>
          <w:color w:val="000000"/>
          <w:szCs w:val="24"/>
        </w:rPr>
        <w:t>: (a</w:t>
      </w:r>
      <w:r w:rsidR="00877E22" w:rsidRPr="00011FBA">
        <w:rPr>
          <w:rStyle w:val="Nessuno"/>
          <w:rFonts w:ascii="Cambria" w:hAnsi="Cambria"/>
          <w:color w:val="000000"/>
          <w:szCs w:val="24"/>
        </w:rPr>
        <w:t xml:space="preserve">) la  </w:t>
      </w:r>
      <w:r w:rsidR="00877E22" w:rsidRPr="00011FBA">
        <w:rPr>
          <w:rStyle w:val="Nessuno"/>
          <w:rFonts w:ascii="Cambria" w:hAnsi="Cambria"/>
          <w:i/>
          <w:iCs/>
          <w:color w:val="000000"/>
          <w:szCs w:val="24"/>
        </w:rPr>
        <w:t>continuità</w:t>
      </w:r>
      <w:r w:rsidR="00877E22" w:rsidRPr="00011FBA">
        <w:rPr>
          <w:rStyle w:val="Nessuno"/>
          <w:rFonts w:ascii="Cambria" w:hAnsi="Cambria"/>
          <w:color w:val="000000"/>
          <w:szCs w:val="24"/>
        </w:rPr>
        <w:t xml:space="preserve"> - pacificamente intesa come non occasionalità della collaborazione che risponde ad un interesse duraturo del committente, no</w:t>
      </w:r>
      <w:r w:rsidR="00011FBA" w:rsidRPr="00011FBA">
        <w:rPr>
          <w:rStyle w:val="Nessuno"/>
          <w:rFonts w:ascii="Cambria" w:hAnsi="Cambria"/>
          <w:color w:val="000000"/>
          <w:szCs w:val="24"/>
        </w:rPr>
        <w:t>n saltuario ed occasionale;  (b</w:t>
      </w:r>
      <w:r w:rsidR="00877E22" w:rsidRPr="00011FBA">
        <w:rPr>
          <w:rStyle w:val="Nessuno"/>
          <w:rFonts w:ascii="Cambria" w:hAnsi="Cambria"/>
          <w:color w:val="000000"/>
          <w:szCs w:val="24"/>
        </w:rPr>
        <w:t>) il tratto dell’</w:t>
      </w:r>
      <w:r w:rsidR="00877E22" w:rsidRPr="00011FBA">
        <w:rPr>
          <w:rStyle w:val="Nessuno"/>
          <w:rFonts w:ascii="Cambria" w:hAnsi="Cambria"/>
          <w:i/>
          <w:iCs/>
          <w:color w:val="000000"/>
          <w:szCs w:val="24"/>
        </w:rPr>
        <w:t>etero-organizzazione</w:t>
      </w:r>
      <w:r w:rsidR="00877E22" w:rsidRPr="00011FBA">
        <w:rPr>
          <w:rStyle w:val="Nessuno"/>
          <w:rFonts w:ascii="Cambria" w:hAnsi="Cambria"/>
          <w:color w:val="000000"/>
          <w:szCs w:val="24"/>
        </w:rPr>
        <w:t xml:space="preserve">, da intendersi come potere unilaterale </w:t>
      </w:r>
      <w:r w:rsidR="00D3410C">
        <w:rPr>
          <w:rStyle w:val="Nessuno"/>
          <w:rFonts w:ascii="Cambria" w:hAnsi="Cambria"/>
          <w:color w:val="000000"/>
          <w:szCs w:val="24"/>
        </w:rPr>
        <w:t xml:space="preserve">in capo </w:t>
      </w:r>
      <w:r w:rsidR="00D3410C" w:rsidRPr="0042739A">
        <w:rPr>
          <w:rStyle w:val="Nessuno"/>
          <w:rFonts w:ascii="Cambria" w:hAnsi="Cambria"/>
          <w:color w:val="000000"/>
          <w:szCs w:val="24"/>
        </w:rPr>
        <w:t xml:space="preserve">ad altri </w:t>
      </w:r>
      <w:r w:rsidR="00D3410C" w:rsidRPr="0042739A">
        <w:rPr>
          <w:rStyle w:val="Nessuno"/>
          <w:rFonts w:ascii="Cambria" w:hAnsi="Cambria"/>
          <w:i/>
          <w:color w:val="000000"/>
          <w:szCs w:val="24"/>
        </w:rPr>
        <w:t>(“etero”</w:t>
      </w:r>
      <w:r w:rsidR="00D3410C" w:rsidRPr="0042739A">
        <w:rPr>
          <w:rStyle w:val="Nessuno"/>
          <w:rFonts w:ascii="Cambria" w:hAnsi="Cambria"/>
          <w:color w:val="000000"/>
          <w:szCs w:val="24"/>
        </w:rPr>
        <w:t>)</w:t>
      </w:r>
      <w:r w:rsidR="00D3410C">
        <w:rPr>
          <w:rStyle w:val="Nessuno"/>
          <w:rFonts w:ascii="Cambria" w:hAnsi="Cambria"/>
          <w:color w:val="000000"/>
          <w:szCs w:val="24"/>
        </w:rPr>
        <w:t xml:space="preserve"> </w:t>
      </w:r>
      <w:r w:rsidR="00877E22" w:rsidRPr="00011FBA">
        <w:rPr>
          <w:rStyle w:val="Nessuno"/>
          <w:rFonts w:ascii="Cambria" w:hAnsi="Cambria"/>
          <w:color w:val="000000"/>
          <w:szCs w:val="24"/>
        </w:rPr>
        <w:t>di predetermin</w:t>
      </w:r>
      <w:r w:rsidR="00011FBA" w:rsidRPr="00011FBA">
        <w:rPr>
          <w:rStyle w:val="Nessuno"/>
          <w:rFonts w:ascii="Cambria" w:hAnsi="Cambria"/>
          <w:color w:val="000000"/>
          <w:szCs w:val="24"/>
        </w:rPr>
        <w:t>azione del contesto</w:t>
      </w:r>
      <w:r w:rsidR="00877E22" w:rsidRPr="00011FBA">
        <w:rPr>
          <w:rStyle w:val="Nessuno"/>
          <w:rFonts w:ascii="Cambria" w:hAnsi="Cambria"/>
          <w:color w:val="000000"/>
          <w:szCs w:val="24"/>
        </w:rPr>
        <w:t xml:space="preserve"> organizzativo nel cui am</w:t>
      </w:r>
      <w:r w:rsidR="00011FBA" w:rsidRPr="00011FBA">
        <w:rPr>
          <w:rStyle w:val="Nessuno"/>
          <w:rFonts w:ascii="Cambria" w:hAnsi="Cambria"/>
          <w:color w:val="000000"/>
          <w:szCs w:val="24"/>
        </w:rPr>
        <w:t>bito la prestazione è resa; (c</w:t>
      </w:r>
      <w:r w:rsidR="00877E22" w:rsidRPr="00011FBA">
        <w:rPr>
          <w:rStyle w:val="Nessuno"/>
          <w:rFonts w:ascii="Cambria" w:hAnsi="Cambria"/>
          <w:color w:val="000000"/>
          <w:szCs w:val="24"/>
        </w:rPr>
        <w:t>)  lo svolgersi l’attività mediante una piattaforma digitale</w:t>
      </w:r>
      <w:r w:rsidR="00011FBA" w:rsidRPr="00011FBA">
        <w:rPr>
          <w:rFonts w:ascii="Cambria" w:hAnsi="Cambria"/>
          <w:color w:val="000000"/>
          <w:szCs w:val="24"/>
        </w:rPr>
        <w:t>.</w:t>
      </w:r>
      <w:r w:rsidR="00877E22" w:rsidRPr="00011FBA">
        <w:rPr>
          <w:rStyle w:val="Nessuno"/>
          <w:rFonts w:ascii="Cambria" w:hAnsi="Cambria"/>
          <w:color w:val="000000"/>
          <w:szCs w:val="24"/>
        </w:rPr>
        <w:t xml:space="preserve"> </w:t>
      </w:r>
    </w:p>
    <w:p w14:paraId="440210DC" w14:textId="31F19FD0" w:rsidR="00801048" w:rsidRPr="00011FBA" w:rsidRDefault="00801048" w:rsidP="00C34F88">
      <w:pPr>
        <w:pStyle w:val="Testodelblocco"/>
        <w:tabs>
          <w:tab w:val="clear" w:pos="8505"/>
        </w:tabs>
        <w:spacing w:line="276" w:lineRule="auto"/>
        <w:ind w:left="0" w:right="-7"/>
        <w:rPr>
          <w:rStyle w:val="Nessuno"/>
          <w:rFonts w:ascii="Cambria" w:hAnsi="Cambria"/>
          <w:szCs w:val="24"/>
        </w:rPr>
      </w:pPr>
      <w:r>
        <w:rPr>
          <w:rStyle w:val="Nessuno"/>
          <w:rFonts w:ascii="Cambria" w:hAnsi="Cambria"/>
          <w:color w:val="000000"/>
          <w:szCs w:val="24"/>
        </w:rPr>
        <w:t xml:space="preserve">Per i </w:t>
      </w:r>
      <w:proofErr w:type="spellStart"/>
      <w:r w:rsidR="00C80E38">
        <w:rPr>
          <w:rStyle w:val="Nessuno"/>
          <w:rFonts w:ascii="Cambria" w:hAnsi="Cambria"/>
          <w:color w:val="000000"/>
          <w:szCs w:val="24"/>
        </w:rPr>
        <w:t>ciclofattori</w:t>
      </w:r>
      <w:r w:rsidR="000E575A">
        <w:rPr>
          <w:rStyle w:val="Nessuno"/>
          <w:rFonts w:ascii="Cambria" w:hAnsi="Cambria"/>
          <w:color w:val="000000"/>
          <w:szCs w:val="24"/>
        </w:rPr>
        <w:t>ni</w:t>
      </w:r>
      <w:proofErr w:type="spellEnd"/>
      <w:r>
        <w:rPr>
          <w:rStyle w:val="Nessuno"/>
          <w:rFonts w:ascii="Cambria" w:hAnsi="Cambria"/>
          <w:color w:val="000000"/>
          <w:szCs w:val="24"/>
        </w:rPr>
        <w:t>, infine</w:t>
      </w:r>
      <w:r w:rsidR="00C80E38">
        <w:rPr>
          <w:rStyle w:val="Nessuno"/>
          <w:rFonts w:ascii="Cambria" w:hAnsi="Cambria"/>
          <w:color w:val="000000"/>
          <w:szCs w:val="24"/>
        </w:rPr>
        <w:t xml:space="preserve">, che per le caratteristiche della prestazione lavorativa non sono </w:t>
      </w:r>
      <w:r w:rsidR="00991DD3">
        <w:rPr>
          <w:rStyle w:val="Nessuno"/>
          <w:rFonts w:ascii="Cambria" w:hAnsi="Cambria"/>
          <w:color w:val="000000"/>
          <w:szCs w:val="24"/>
        </w:rPr>
        <w:t xml:space="preserve">da considerare subordinati e non </w:t>
      </w:r>
      <w:r w:rsidR="002B3401">
        <w:rPr>
          <w:rStyle w:val="Nessuno"/>
          <w:rFonts w:ascii="Cambria" w:hAnsi="Cambria"/>
          <w:color w:val="000000"/>
          <w:szCs w:val="24"/>
        </w:rPr>
        <w:t>hanno nemmeno i requisiti</w:t>
      </w:r>
      <w:r w:rsidR="00991DD3">
        <w:rPr>
          <w:rStyle w:val="Nessuno"/>
          <w:rFonts w:ascii="Cambria" w:hAnsi="Cambria"/>
          <w:color w:val="000000"/>
          <w:szCs w:val="24"/>
        </w:rPr>
        <w:t xml:space="preserve"> sopra ind</w:t>
      </w:r>
      <w:r w:rsidR="002B3401">
        <w:rPr>
          <w:rStyle w:val="Nessuno"/>
          <w:rFonts w:ascii="Cambria" w:hAnsi="Cambria"/>
          <w:color w:val="000000"/>
          <w:szCs w:val="24"/>
        </w:rPr>
        <w:t>icati</w:t>
      </w:r>
      <w:r w:rsidR="00991DD3">
        <w:rPr>
          <w:rStyle w:val="Nessuno"/>
          <w:rFonts w:ascii="Cambria" w:hAnsi="Cambria"/>
          <w:color w:val="000000"/>
          <w:szCs w:val="24"/>
        </w:rPr>
        <w:t xml:space="preserve"> per essere la loro attività </w:t>
      </w:r>
      <w:r w:rsidR="00991DD3" w:rsidRPr="00991DD3">
        <w:rPr>
          <w:rStyle w:val="Nessuno"/>
          <w:rFonts w:ascii="Cambria" w:hAnsi="Cambria"/>
          <w:color w:val="000000"/>
          <w:szCs w:val="24"/>
          <w:u w:val="single"/>
        </w:rPr>
        <w:t xml:space="preserve">davvero </w:t>
      </w:r>
      <w:r w:rsidR="00991DD3" w:rsidRPr="000E575A">
        <w:rPr>
          <w:rStyle w:val="Nessuno"/>
          <w:rFonts w:ascii="Cambria" w:hAnsi="Cambria"/>
          <w:b/>
          <w:color w:val="000000"/>
          <w:szCs w:val="24"/>
          <w:u w:val="single"/>
        </w:rPr>
        <w:t>occasionale</w:t>
      </w:r>
      <w:r w:rsidR="00C34F88" w:rsidRPr="00C34F88">
        <w:rPr>
          <w:rStyle w:val="Nessuno"/>
          <w:rFonts w:ascii="Cambria" w:hAnsi="Cambria"/>
          <w:color w:val="000000"/>
          <w:szCs w:val="24"/>
        </w:rPr>
        <w:t xml:space="preserve"> perché non continuativa</w:t>
      </w:r>
      <w:r w:rsidR="00A153A2">
        <w:rPr>
          <w:rStyle w:val="Nessuno"/>
          <w:rFonts w:ascii="Cambria" w:hAnsi="Cambria"/>
          <w:color w:val="000000"/>
          <w:szCs w:val="24"/>
        </w:rPr>
        <w:t xml:space="preserve"> </w:t>
      </w:r>
      <w:proofErr w:type="spellStart"/>
      <w:r w:rsidR="003D0D83">
        <w:rPr>
          <w:rStyle w:val="Nessuno"/>
          <w:rFonts w:ascii="Cambria" w:hAnsi="Cambria"/>
          <w:color w:val="000000" w:themeColor="text1"/>
          <w:szCs w:val="24"/>
        </w:rPr>
        <w:t>nè</w:t>
      </w:r>
      <w:proofErr w:type="spellEnd"/>
      <w:r w:rsidR="00A153A2" w:rsidRPr="003D0D83">
        <w:rPr>
          <w:rStyle w:val="Nessuno"/>
          <w:rFonts w:ascii="Cambria" w:hAnsi="Cambria"/>
          <w:color w:val="000000" w:themeColor="text1"/>
          <w:szCs w:val="24"/>
        </w:rPr>
        <w:t xml:space="preserve"> etero</w:t>
      </w:r>
      <w:r w:rsidR="003D0D83">
        <w:rPr>
          <w:rStyle w:val="Nessuno"/>
          <w:rFonts w:ascii="Cambria" w:hAnsi="Cambria"/>
          <w:color w:val="000000" w:themeColor="text1"/>
          <w:szCs w:val="24"/>
        </w:rPr>
        <w:t>-o</w:t>
      </w:r>
      <w:r w:rsidR="00A153A2" w:rsidRPr="003D0D83">
        <w:rPr>
          <w:rStyle w:val="Nessuno"/>
          <w:rFonts w:ascii="Cambria" w:hAnsi="Cambria"/>
          <w:color w:val="000000" w:themeColor="text1"/>
          <w:szCs w:val="24"/>
        </w:rPr>
        <w:t>rganizzata</w:t>
      </w:r>
      <w:r w:rsidR="00991DD3" w:rsidRPr="003D0D83">
        <w:rPr>
          <w:rStyle w:val="Nessuno"/>
          <w:rFonts w:ascii="Cambria" w:hAnsi="Cambria"/>
          <w:color w:val="000000" w:themeColor="text1"/>
          <w:szCs w:val="24"/>
        </w:rPr>
        <w:t xml:space="preserve">, </w:t>
      </w:r>
      <w:r w:rsidR="00C34F88" w:rsidRPr="003D0D83">
        <w:rPr>
          <w:rStyle w:val="Nessuno"/>
          <w:rFonts w:ascii="Cambria" w:hAnsi="Cambria"/>
          <w:color w:val="000000" w:themeColor="text1"/>
          <w:szCs w:val="24"/>
        </w:rPr>
        <w:t xml:space="preserve">la </w:t>
      </w:r>
      <w:r w:rsidR="00C34F88">
        <w:rPr>
          <w:rStyle w:val="Nessuno"/>
          <w:rFonts w:ascii="Cambria" w:hAnsi="Cambria"/>
          <w:color w:val="000000"/>
          <w:szCs w:val="24"/>
        </w:rPr>
        <w:t xml:space="preserve">legge garantisce al Capo V </w:t>
      </w:r>
      <w:r w:rsidR="00C34F88" w:rsidRPr="00C34F88">
        <w:rPr>
          <w:rStyle w:val="Nessuno"/>
          <w:rFonts w:ascii="Cambria" w:hAnsi="Cambria"/>
          <w:i/>
          <w:color w:val="000000"/>
          <w:szCs w:val="24"/>
        </w:rPr>
        <w:t>bis</w:t>
      </w:r>
      <w:r w:rsidR="00C34F88">
        <w:rPr>
          <w:rStyle w:val="Nessuno"/>
          <w:rFonts w:ascii="Cambria" w:hAnsi="Cambria"/>
          <w:color w:val="000000"/>
          <w:szCs w:val="24"/>
        </w:rPr>
        <w:t xml:space="preserve"> del </w:t>
      </w:r>
      <w:proofErr w:type="spellStart"/>
      <w:r w:rsidR="00C34F88">
        <w:rPr>
          <w:rStyle w:val="Nessuno"/>
          <w:rFonts w:ascii="Cambria" w:hAnsi="Cambria"/>
          <w:color w:val="000000"/>
          <w:szCs w:val="24"/>
        </w:rPr>
        <w:t>dlgs</w:t>
      </w:r>
      <w:proofErr w:type="spellEnd"/>
      <w:r w:rsidR="00C34F88">
        <w:rPr>
          <w:rStyle w:val="Nessuno"/>
          <w:rFonts w:ascii="Cambria" w:hAnsi="Cambria"/>
          <w:color w:val="000000"/>
          <w:szCs w:val="24"/>
        </w:rPr>
        <w:t xml:space="preserve">. 81 del 2015 (nel testo modificato nel novembre del 2019) un corredo di diritti ben richiamati nella Circolare del Ministro del Lavoro del 19 novembre </w:t>
      </w:r>
      <w:proofErr w:type="gramStart"/>
      <w:r w:rsidR="00C34F88">
        <w:rPr>
          <w:rStyle w:val="Nessuno"/>
          <w:rFonts w:ascii="Cambria" w:hAnsi="Cambria"/>
          <w:color w:val="000000"/>
          <w:szCs w:val="24"/>
        </w:rPr>
        <w:t>2020</w:t>
      </w:r>
      <w:r w:rsidR="003D0D83">
        <w:rPr>
          <w:rStyle w:val="Nessuno"/>
          <w:rFonts w:ascii="Cambria" w:hAnsi="Cambria"/>
          <w:color w:val="000000"/>
          <w:szCs w:val="24"/>
        </w:rPr>
        <w:t>,  di</w:t>
      </w:r>
      <w:proofErr w:type="gramEnd"/>
      <w:r w:rsidR="003D0D83">
        <w:rPr>
          <w:rStyle w:val="Nessuno"/>
          <w:rFonts w:ascii="Cambria" w:hAnsi="Cambria"/>
          <w:color w:val="000000"/>
          <w:szCs w:val="24"/>
        </w:rPr>
        <w:t xml:space="preserve"> cui si suggerisce la integrale lettura, citata dalla stessa  sentenza del </w:t>
      </w:r>
      <w:proofErr w:type="spellStart"/>
      <w:r w:rsidR="003D0D83">
        <w:rPr>
          <w:rStyle w:val="Nessuno"/>
          <w:rFonts w:ascii="Cambria" w:hAnsi="Cambria"/>
          <w:color w:val="000000"/>
          <w:szCs w:val="24"/>
        </w:rPr>
        <w:t>Trib</w:t>
      </w:r>
      <w:proofErr w:type="spellEnd"/>
      <w:r w:rsidR="003D0D83">
        <w:rPr>
          <w:rStyle w:val="Nessuno"/>
          <w:rFonts w:ascii="Cambria" w:hAnsi="Cambria"/>
          <w:color w:val="000000"/>
          <w:szCs w:val="24"/>
        </w:rPr>
        <w:t xml:space="preserve">. </w:t>
      </w:r>
      <w:proofErr w:type="gramStart"/>
      <w:r w:rsidR="003D0D83">
        <w:rPr>
          <w:rStyle w:val="Nessuno"/>
          <w:rFonts w:ascii="Cambria" w:hAnsi="Cambria"/>
          <w:color w:val="000000"/>
          <w:szCs w:val="24"/>
        </w:rPr>
        <w:t>di</w:t>
      </w:r>
      <w:proofErr w:type="gramEnd"/>
      <w:r w:rsidR="003D0D83">
        <w:rPr>
          <w:rStyle w:val="Nessuno"/>
          <w:rFonts w:ascii="Cambria" w:hAnsi="Cambria"/>
          <w:color w:val="000000"/>
          <w:szCs w:val="24"/>
        </w:rPr>
        <w:t xml:space="preserve"> Palermo in commento</w:t>
      </w:r>
      <w:r w:rsidR="00C34F88">
        <w:rPr>
          <w:rStyle w:val="Nessuno"/>
          <w:rFonts w:ascii="Cambria" w:hAnsi="Cambria"/>
          <w:color w:val="000000"/>
          <w:szCs w:val="24"/>
        </w:rPr>
        <w:t>.</w:t>
      </w:r>
    </w:p>
    <w:p w14:paraId="2223470E" w14:textId="77777777" w:rsidR="00877E22" w:rsidRDefault="00877E22" w:rsidP="00C34F88">
      <w:pPr>
        <w:pStyle w:val="Testodelblocco"/>
        <w:tabs>
          <w:tab w:val="clear" w:pos="8505"/>
        </w:tabs>
        <w:spacing w:line="276" w:lineRule="auto"/>
        <w:ind w:left="426" w:right="452"/>
        <w:jc w:val="center"/>
        <w:rPr>
          <w:rStyle w:val="Nessuno"/>
          <w:rFonts w:ascii="Garamond" w:hAnsi="Garamond"/>
          <w:szCs w:val="24"/>
        </w:rPr>
      </w:pPr>
      <w:r>
        <w:rPr>
          <w:rStyle w:val="Nessuno"/>
          <w:rFonts w:ascii="Garamond" w:hAnsi="Garamond"/>
          <w:szCs w:val="24"/>
        </w:rPr>
        <w:t>*</w:t>
      </w:r>
    </w:p>
    <w:p w14:paraId="61902D2D" w14:textId="7870AD22" w:rsidR="00C34F88" w:rsidRDefault="00C34F88" w:rsidP="00C34F88">
      <w:pPr>
        <w:spacing w:line="276" w:lineRule="auto"/>
        <w:jc w:val="both"/>
        <w:rPr>
          <w:rFonts w:ascii="Cambria" w:hAnsi="Cambria"/>
        </w:rPr>
      </w:pPr>
      <w:r>
        <w:rPr>
          <w:rFonts w:ascii="Cambria" w:hAnsi="Cambria"/>
        </w:rPr>
        <w:t>In questo contesto vanno segnalati due elementi, che si pongono agli antipodi.</w:t>
      </w:r>
    </w:p>
    <w:p w14:paraId="0F9AB801" w14:textId="77777777" w:rsidR="0023334D" w:rsidRDefault="0023334D" w:rsidP="00C34F88">
      <w:pPr>
        <w:spacing w:line="276" w:lineRule="auto"/>
        <w:jc w:val="both"/>
        <w:rPr>
          <w:rFonts w:ascii="Cambria" w:hAnsi="Cambria"/>
        </w:rPr>
      </w:pPr>
    </w:p>
    <w:p w14:paraId="22193FDE" w14:textId="05E6B353" w:rsidR="009E14C5" w:rsidRDefault="002120FC" w:rsidP="00C34F88">
      <w:pPr>
        <w:spacing w:line="276" w:lineRule="auto"/>
        <w:jc w:val="both"/>
        <w:rPr>
          <w:rFonts w:ascii="Cambria" w:hAnsi="Cambria"/>
        </w:rPr>
      </w:pPr>
      <w:r w:rsidRPr="00D94456">
        <w:rPr>
          <w:rFonts w:ascii="Cambria" w:hAnsi="Cambria"/>
          <w:b/>
        </w:rPr>
        <w:t>1.</w:t>
      </w:r>
      <w:r>
        <w:rPr>
          <w:rFonts w:ascii="Cambria" w:hAnsi="Cambria"/>
        </w:rPr>
        <w:t xml:space="preserve">  </w:t>
      </w:r>
      <w:r w:rsidR="00C34F88">
        <w:rPr>
          <w:rFonts w:ascii="Cambria" w:hAnsi="Cambria"/>
        </w:rPr>
        <w:t xml:space="preserve">Da un lato il </w:t>
      </w:r>
      <w:r w:rsidR="00C34F88" w:rsidRPr="0023334D">
        <w:rPr>
          <w:rFonts w:ascii="Cambria" w:hAnsi="Cambria"/>
          <w:b/>
        </w:rPr>
        <w:t xml:space="preserve">CCNL sottoscritto da UGL, UGL Rider e </w:t>
      </w:r>
      <w:proofErr w:type="spellStart"/>
      <w:r w:rsidR="00C34F88" w:rsidRPr="0023334D">
        <w:rPr>
          <w:rFonts w:ascii="Cambria" w:hAnsi="Cambria"/>
          <w:b/>
        </w:rPr>
        <w:t>Assodelivery</w:t>
      </w:r>
      <w:proofErr w:type="spellEnd"/>
      <w:r w:rsidR="00C34F88">
        <w:rPr>
          <w:rFonts w:ascii="Cambria" w:hAnsi="Cambria"/>
        </w:rPr>
        <w:t xml:space="preserve"> (associazione che raccoglie le principali piattaforme) il 15 settembre 2020 con un vero e proprio “colpo di mano”</w:t>
      </w:r>
      <w:r w:rsidR="003F35F4">
        <w:rPr>
          <w:rFonts w:ascii="Cambria" w:hAnsi="Cambria"/>
        </w:rPr>
        <w:t>,</w:t>
      </w:r>
      <w:r w:rsidR="00C34F88">
        <w:rPr>
          <w:rFonts w:ascii="Cambria" w:hAnsi="Cambria"/>
        </w:rPr>
        <w:t xml:space="preserve"> in pendenza di trattative con le OO.SS. dei lavoratori più rappresentative sponsorizzate dal Ministero del Lavor</w:t>
      </w:r>
      <w:r>
        <w:rPr>
          <w:rFonts w:ascii="Cambria" w:hAnsi="Cambria"/>
        </w:rPr>
        <w:t xml:space="preserve">o. In tale contratto collettivo - </w:t>
      </w:r>
      <w:r w:rsidR="00C34F88">
        <w:rPr>
          <w:rFonts w:ascii="Cambria" w:hAnsi="Cambria"/>
        </w:rPr>
        <w:t xml:space="preserve"> </w:t>
      </w:r>
      <w:r w:rsidR="00C34F88" w:rsidRPr="003F35F4">
        <w:rPr>
          <w:rFonts w:ascii="Cambria" w:hAnsi="Cambria"/>
          <w:u w:val="single"/>
        </w:rPr>
        <w:t xml:space="preserve">al quale è stata chiesta dalle Piattaforme la piena e incondizionata </w:t>
      </w:r>
      <w:r w:rsidR="00C34F88" w:rsidRPr="003D0D83">
        <w:rPr>
          <w:rFonts w:ascii="Cambria" w:hAnsi="Cambria"/>
          <w:color w:val="000000" w:themeColor="text1"/>
          <w:u w:val="single"/>
        </w:rPr>
        <w:t xml:space="preserve">adesione </w:t>
      </w:r>
      <w:r w:rsidR="00A153A2" w:rsidRPr="003D0D83">
        <w:rPr>
          <w:rFonts w:ascii="Cambria" w:hAnsi="Cambria"/>
          <w:color w:val="000000" w:themeColor="text1"/>
          <w:u w:val="single"/>
        </w:rPr>
        <w:t xml:space="preserve">da parte dei lavoratori </w:t>
      </w:r>
      <w:r w:rsidR="00C34F88" w:rsidRPr="003F35F4">
        <w:rPr>
          <w:rFonts w:ascii="Cambria" w:hAnsi="Cambria"/>
          <w:u w:val="single"/>
        </w:rPr>
        <w:t>pena la risoluzione dei con</w:t>
      </w:r>
      <w:r w:rsidRPr="003F35F4">
        <w:rPr>
          <w:rFonts w:ascii="Cambria" w:hAnsi="Cambria"/>
          <w:u w:val="single"/>
        </w:rPr>
        <w:t>tratti di prestazione in essere</w:t>
      </w:r>
      <w:r>
        <w:rPr>
          <w:rFonts w:ascii="Cambria" w:hAnsi="Cambria"/>
        </w:rPr>
        <w:t xml:space="preserve"> - </w:t>
      </w:r>
      <w:r w:rsidR="00C34F88">
        <w:rPr>
          <w:rFonts w:ascii="Cambria" w:hAnsi="Cambria"/>
        </w:rPr>
        <w:t xml:space="preserve"> </w:t>
      </w:r>
      <w:r>
        <w:rPr>
          <w:rFonts w:ascii="Cambria" w:hAnsi="Cambria"/>
        </w:rPr>
        <w:t>il rapporto viene esplicitamente battezzato come “</w:t>
      </w:r>
      <w:r w:rsidRPr="00D94456">
        <w:rPr>
          <w:rFonts w:ascii="Cambria" w:hAnsi="Cambria"/>
          <w:b/>
        </w:rPr>
        <w:t>autonomo</w:t>
      </w:r>
      <w:r>
        <w:rPr>
          <w:rFonts w:ascii="Cambria" w:hAnsi="Cambria"/>
        </w:rPr>
        <w:t>”.</w:t>
      </w:r>
      <w:r w:rsidR="009E14C5">
        <w:rPr>
          <w:rFonts w:ascii="Cambria" w:hAnsi="Cambria"/>
        </w:rPr>
        <w:t xml:space="preserve"> </w:t>
      </w:r>
    </w:p>
    <w:p w14:paraId="7321F2E8" w14:textId="2F598690" w:rsidR="00C34F88" w:rsidRDefault="009E14C5" w:rsidP="00C34F88">
      <w:pPr>
        <w:spacing w:line="276" w:lineRule="auto"/>
        <w:jc w:val="both"/>
        <w:rPr>
          <w:rFonts w:ascii="Cambria" w:hAnsi="Cambria"/>
        </w:rPr>
      </w:pPr>
      <w:r>
        <w:rPr>
          <w:rFonts w:ascii="Cambria" w:hAnsi="Cambria"/>
        </w:rPr>
        <w:t xml:space="preserve">La Piattaforma </w:t>
      </w:r>
      <w:proofErr w:type="spellStart"/>
      <w:r>
        <w:rPr>
          <w:rFonts w:ascii="Cambria" w:hAnsi="Cambria"/>
        </w:rPr>
        <w:t>Deliveroo</w:t>
      </w:r>
      <w:proofErr w:type="spellEnd"/>
      <w:r>
        <w:rPr>
          <w:rFonts w:ascii="Cambria" w:hAnsi="Cambria"/>
        </w:rPr>
        <w:t xml:space="preserve"> si vanta che tra i suoi 9633 rider attivi ben 7697 avrebbero sottoscritto il nuovo contratto. Contro le modalità con cui si è ottenuto questo “libero </w:t>
      </w:r>
      <w:proofErr w:type="gramStart"/>
      <w:r>
        <w:rPr>
          <w:rFonts w:ascii="Cambria" w:hAnsi="Cambria"/>
        </w:rPr>
        <w:t xml:space="preserve">consenso” </w:t>
      </w:r>
      <w:r w:rsidR="003F35F4">
        <w:rPr>
          <w:rFonts w:ascii="Cambria" w:hAnsi="Cambria"/>
        </w:rPr>
        <w:t xml:space="preserve"> sono</w:t>
      </w:r>
      <w:proofErr w:type="gramEnd"/>
      <w:r w:rsidR="003F35F4">
        <w:rPr>
          <w:rFonts w:ascii="Cambria" w:hAnsi="Cambria"/>
        </w:rPr>
        <w:t xml:space="preserve"> state poste in essere </w:t>
      </w:r>
      <w:r>
        <w:rPr>
          <w:rFonts w:ascii="Cambria" w:hAnsi="Cambria"/>
        </w:rPr>
        <w:t>diverse iniziative giudiziarie, che vanno</w:t>
      </w:r>
      <w:r w:rsidR="00D94456">
        <w:rPr>
          <w:rFonts w:ascii="Cambria" w:hAnsi="Cambria"/>
        </w:rPr>
        <w:t xml:space="preserve"> (a) dalla denunce</w:t>
      </w:r>
      <w:r>
        <w:rPr>
          <w:rFonts w:ascii="Cambria" w:hAnsi="Cambria"/>
        </w:rPr>
        <w:t xml:space="preserve"> </w:t>
      </w:r>
      <w:r w:rsidR="00D94456">
        <w:rPr>
          <w:rFonts w:ascii="Cambria" w:hAnsi="Cambria"/>
        </w:rPr>
        <w:t>penali presentate</w:t>
      </w:r>
      <w:r>
        <w:rPr>
          <w:rFonts w:ascii="Cambria" w:hAnsi="Cambria"/>
        </w:rPr>
        <w:t xml:space="preserve"> presso le  Procure della Repubblica di diverse città</w:t>
      </w:r>
      <w:r w:rsidR="00D94456">
        <w:rPr>
          <w:rFonts w:ascii="Cambria" w:hAnsi="Cambria"/>
        </w:rPr>
        <w:t xml:space="preserve"> (b)</w:t>
      </w:r>
      <w:r>
        <w:rPr>
          <w:rFonts w:ascii="Cambria" w:hAnsi="Cambria"/>
        </w:rPr>
        <w:t xml:space="preserve"> alle cause individuali promosse da singoli rider</w:t>
      </w:r>
      <w:r w:rsidR="00D94456">
        <w:rPr>
          <w:rFonts w:ascii="Cambria" w:hAnsi="Cambria"/>
        </w:rPr>
        <w:t xml:space="preserve"> (c)</w:t>
      </w:r>
      <w:r>
        <w:rPr>
          <w:rFonts w:ascii="Cambria" w:hAnsi="Cambria"/>
        </w:rPr>
        <w:t xml:space="preserve"> a</w:t>
      </w:r>
      <w:r w:rsidR="00D94456">
        <w:rPr>
          <w:rFonts w:ascii="Cambria" w:hAnsi="Cambria"/>
        </w:rPr>
        <w:t xml:space="preserve">i ricorsi ai sensi dell’art. 28 Stat. Lav. </w:t>
      </w:r>
      <w:proofErr w:type="gramStart"/>
      <w:r w:rsidR="00D94456">
        <w:rPr>
          <w:rFonts w:ascii="Cambria" w:hAnsi="Cambria"/>
        </w:rPr>
        <w:t xml:space="preserve">per </w:t>
      </w:r>
      <w:r>
        <w:rPr>
          <w:rFonts w:ascii="Cambria" w:hAnsi="Cambria"/>
        </w:rPr>
        <w:t xml:space="preserve"> condotta</w:t>
      </w:r>
      <w:proofErr w:type="gramEnd"/>
      <w:r>
        <w:rPr>
          <w:rFonts w:ascii="Cambria" w:hAnsi="Cambria"/>
        </w:rPr>
        <w:t xml:space="preserve"> antisindacale </w:t>
      </w:r>
      <w:r w:rsidR="00694591">
        <w:rPr>
          <w:rFonts w:ascii="Cambria" w:hAnsi="Cambria"/>
        </w:rPr>
        <w:t xml:space="preserve">proposte da </w:t>
      </w:r>
      <w:proofErr w:type="spellStart"/>
      <w:r w:rsidR="00694591">
        <w:rPr>
          <w:rFonts w:ascii="Cambria" w:hAnsi="Cambria"/>
        </w:rPr>
        <w:t>Nidl</w:t>
      </w:r>
      <w:proofErr w:type="spellEnd"/>
      <w:r w:rsidR="00694591">
        <w:rPr>
          <w:rFonts w:ascii="Cambria" w:hAnsi="Cambria"/>
        </w:rPr>
        <w:t xml:space="preserve">-CGIL, </w:t>
      </w:r>
      <w:proofErr w:type="spellStart"/>
      <w:r w:rsidR="00694591">
        <w:rPr>
          <w:rFonts w:ascii="Cambria" w:hAnsi="Cambria"/>
        </w:rPr>
        <w:t>Filt</w:t>
      </w:r>
      <w:proofErr w:type="spellEnd"/>
      <w:r w:rsidR="00694591">
        <w:rPr>
          <w:rFonts w:ascii="Cambria" w:hAnsi="Cambria"/>
        </w:rPr>
        <w:t xml:space="preserve">-CGIL e </w:t>
      </w:r>
      <w:proofErr w:type="spellStart"/>
      <w:r w:rsidR="00694591">
        <w:rPr>
          <w:rFonts w:ascii="Cambria" w:hAnsi="Cambria"/>
        </w:rPr>
        <w:t>Filcams</w:t>
      </w:r>
      <w:proofErr w:type="spellEnd"/>
      <w:r w:rsidR="00694591">
        <w:rPr>
          <w:rFonts w:ascii="Cambria" w:hAnsi="Cambria"/>
        </w:rPr>
        <w:t>-CGIL  ad oggi pendenti presso i Tribunali del Lavoro di Firenze e Bologna.</w:t>
      </w:r>
    </w:p>
    <w:p w14:paraId="3D91B68F" w14:textId="77777777" w:rsidR="0023334D" w:rsidRDefault="0023334D" w:rsidP="000E575A">
      <w:pPr>
        <w:spacing w:line="276" w:lineRule="auto"/>
        <w:jc w:val="both"/>
        <w:rPr>
          <w:rFonts w:ascii="Cambria" w:hAnsi="Cambria"/>
        </w:rPr>
      </w:pPr>
    </w:p>
    <w:p w14:paraId="4EB5577A" w14:textId="167E4B91" w:rsidR="00D94456" w:rsidRDefault="00D94456" w:rsidP="000E575A">
      <w:pPr>
        <w:spacing w:line="276" w:lineRule="auto"/>
        <w:jc w:val="both"/>
        <w:outlineLvl w:val="0"/>
        <w:rPr>
          <w:rFonts w:ascii="Cambria" w:hAnsi="Cambria"/>
        </w:rPr>
      </w:pPr>
      <w:r w:rsidRPr="0023334D">
        <w:rPr>
          <w:rFonts w:ascii="Cambria" w:hAnsi="Cambria"/>
          <w:b/>
        </w:rPr>
        <w:t>2.</w:t>
      </w:r>
      <w:r>
        <w:rPr>
          <w:rFonts w:ascii="Cambria" w:hAnsi="Cambria"/>
        </w:rPr>
        <w:t xml:space="preserve"> In data 24.11.2020 è stata poi depositata </w:t>
      </w:r>
      <w:proofErr w:type="gramStart"/>
      <w:r>
        <w:rPr>
          <w:rFonts w:ascii="Cambria" w:hAnsi="Cambria"/>
        </w:rPr>
        <w:t>dal</w:t>
      </w:r>
      <w:r w:rsidRPr="00D94456">
        <w:rPr>
          <w:rFonts w:ascii="Cambria" w:hAnsi="Cambria"/>
        </w:rPr>
        <w:t xml:space="preserve">  </w:t>
      </w:r>
      <w:r w:rsidRPr="001A4865">
        <w:rPr>
          <w:rFonts w:ascii="Cambria" w:hAnsi="Cambria"/>
          <w:b/>
        </w:rPr>
        <w:t>Tribunale</w:t>
      </w:r>
      <w:proofErr w:type="gramEnd"/>
      <w:r w:rsidRPr="001A4865">
        <w:rPr>
          <w:rFonts w:ascii="Cambria" w:hAnsi="Cambria"/>
          <w:b/>
        </w:rPr>
        <w:t xml:space="preserve"> del lavoro  di Palermo la sentenza n. 3570/2020</w:t>
      </w:r>
      <w:r>
        <w:rPr>
          <w:rFonts w:ascii="Cambria" w:hAnsi="Cambria"/>
        </w:rPr>
        <w:t xml:space="preserve">, che ha invece considerato </w:t>
      </w:r>
      <w:r w:rsidRPr="00D94456">
        <w:rPr>
          <w:rFonts w:ascii="Cambria" w:hAnsi="Cambria"/>
          <w:b/>
        </w:rPr>
        <w:t>subordinato</w:t>
      </w:r>
      <w:r>
        <w:rPr>
          <w:rFonts w:ascii="Cambria" w:hAnsi="Cambria"/>
        </w:rPr>
        <w:t xml:space="preserve"> il rapporto di collaborazione di un rider</w:t>
      </w:r>
      <w:r w:rsidR="00B2757F">
        <w:rPr>
          <w:rFonts w:ascii="Cambria" w:hAnsi="Cambria"/>
        </w:rPr>
        <w:t xml:space="preserve"> con </w:t>
      </w:r>
      <w:r>
        <w:rPr>
          <w:rFonts w:ascii="Cambria" w:hAnsi="Cambria"/>
        </w:rPr>
        <w:t xml:space="preserve"> FOODINHO, azienda multinazionale spagnola operante con il marchio GLOVO.</w:t>
      </w:r>
    </w:p>
    <w:p w14:paraId="39302011" w14:textId="77777777" w:rsidR="0023334D" w:rsidRDefault="0091210C" w:rsidP="000E575A">
      <w:pPr>
        <w:spacing w:line="276" w:lineRule="auto"/>
        <w:jc w:val="both"/>
        <w:outlineLvl w:val="0"/>
        <w:rPr>
          <w:rFonts w:ascii="Cambria" w:hAnsi="Cambria"/>
        </w:rPr>
      </w:pPr>
      <w:r>
        <w:rPr>
          <w:rFonts w:ascii="Cambria" w:hAnsi="Cambria"/>
        </w:rPr>
        <w:t xml:space="preserve">La sentenza è molto argomentata </w:t>
      </w:r>
      <w:r w:rsidR="00B5074A">
        <w:rPr>
          <w:rFonts w:ascii="Cambria" w:hAnsi="Cambria"/>
        </w:rPr>
        <w:t>e</w:t>
      </w:r>
      <w:r w:rsidR="00456CE5">
        <w:rPr>
          <w:rFonts w:ascii="Cambria" w:hAnsi="Cambria"/>
        </w:rPr>
        <w:t xml:space="preserve"> - </w:t>
      </w:r>
      <w:r w:rsidR="00B2757F">
        <w:rPr>
          <w:rFonts w:ascii="Cambria" w:hAnsi="Cambria"/>
        </w:rPr>
        <w:t xml:space="preserve"> al di là delle specifiche caratteristiche delle due parti in causa </w:t>
      </w:r>
      <w:r w:rsidR="00B45D0D">
        <w:rPr>
          <w:rFonts w:ascii="Cambria" w:hAnsi="Cambria"/>
        </w:rPr>
        <w:t>e delle modalità di esecuzione e di</w:t>
      </w:r>
      <w:r w:rsidR="00456CE5">
        <w:rPr>
          <w:rFonts w:ascii="Cambria" w:hAnsi="Cambria"/>
        </w:rPr>
        <w:t xml:space="preserve"> risoluzione del rapporto - </w:t>
      </w:r>
      <w:r w:rsidR="00B2757F">
        <w:rPr>
          <w:rFonts w:ascii="Cambria" w:hAnsi="Cambria"/>
        </w:rPr>
        <w:t xml:space="preserve"> </w:t>
      </w:r>
      <w:r w:rsidR="0023334D">
        <w:rPr>
          <w:rFonts w:ascii="Cambria" w:hAnsi="Cambria"/>
        </w:rPr>
        <w:t>fornisce spunti che possono assumere portata generale.</w:t>
      </w:r>
    </w:p>
    <w:p w14:paraId="0D7C6F83" w14:textId="77777777" w:rsidR="000E575A" w:rsidRDefault="000E575A" w:rsidP="000E575A">
      <w:pPr>
        <w:spacing w:line="276" w:lineRule="auto"/>
        <w:jc w:val="both"/>
        <w:outlineLvl w:val="0"/>
        <w:rPr>
          <w:rFonts w:ascii="Cambria" w:hAnsi="Cambria"/>
        </w:rPr>
      </w:pPr>
    </w:p>
    <w:p w14:paraId="4409E068" w14:textId="0A20B352" w:rsidR="00D94456" w:rsidRDefault="0023334D" w:rsidP="000E575A">
      <w:pPr>
        <w:spacing w:line="276" w:lineRule="auto"/>
        <w:jc w:val="both"/>
        <w:outlineLvl w:val="0"/>
        <w:rPr>
          <w:rFonts w:ascii="Cambria" w:hAnsi="Cambria"/>
        </w:rPr>
      </w:pPr>
      <w:r w:rsidRPr="000D6332">
        <w:rPr>
          <w:rFonts w:ascii="Cambria" w:hAnsi="Cambria"/>
          <w:b/>
        </w:rPr>
        <w:t>2.1</w:t>
      </w:r>
      <w:r>
        <w:rPr>
          <w:rFonts w:ascii="Cambria" w:hAnsi="Cambria"/>
        </w:rPr>
        <w:t xml:space="preserve">  </w:t>
      </w:r>
      <w:r w:rsidR="00B2757F">
        <w:rPr>
          <w:rFonts w:ascii="Cambria" w:hAnsi="Cambria"/>
        </w:rPr>
        <w:t xml:space="preserve"> </w:t>
      </w:r>
      <w:r w:rsidR="001B4760">
        <w:rPr>
          <w:rFonts w:ascii="Cambria" w:hAnsi="Cambria"/>
        </w:rPr>
        <w:t>L</w:t>
      </w:r>
      <w:r w:rsidR="008E6FCA">
        <w:rPr>
          <w:rFonts w:ascii="Cambria" w:hAnsi="Cambria"/>
        </w:rPr>
        <w:t>a prima valutazi</w:t>
      </w:r>
      <w:r w:rsidR="001B4760">
        <w:rPr>
          <w:rFonts w:ascii="Cambria" w:hAnsi="Cambria"/>
        </w:rPr>
        <w:t>one del giudice</w:t>
      </w:r>
      <w:r w:rsidR="003B6141">
        <w:rPr>
          <w:rFonts w:ascii="Cambria" w:hAnsi="Cambria"/>
        </w:rPr>
        <w:t xml:space="preserve"> è relativa </w:t>
      </w:r>
      <w:r w:rsidR="003B6141" w:rsidRPr="00A169BC">
        <w:rPr>
          <w:rFonts w:ascii="Cambria" w:hAnsi="Cambria"/>
          <w:b/>
        </w:rPr>
        <w:t>all’attività della piattaforma</w:t>
      </w:r>
      <w:r w:rsidR="00E146A2">
        <w:rPr>
          <w:rFonts w:ascii="Cambria" w:hAnsi="Cambria"/>
        </w:rPr>
        <w:t xml:space="preserve">. </w:t>
      </w:r>
      <w:proofErr w:type="gramStart"/>
      <w:r w:rsidR="00E146A2">
        <w:rPr>
          <w:rFonts w:ascii="Cambria" w:hAnsi="Cambria"/>
        </w:rPr>
        <w:t>Si  domanda</w:t>
      </w:r>
      <w:proofErr w:type="gramEnd"/>
      <w:r w:rsidR="003B6141">
        <w:rPr>
          <w:rFonts w:ascii="Cambria" w:hAnsi="Cambria"/>
        </w:rPr>
        <w:t xml:space="preserve"> se l’obiettivo</w:t>
      </w:r>
      <w:r w:rsidR="00E146A2">
        <w:rPr>
          <w:rFonts w:ascii="Cambria" w:hAnsi="Cambria"/>
        </w:rPr>
        <w:t xml:space="preserve"> aziendale</w:t>
      </w:r>
      <w:r w:rsidR="003B6141">
        <w:rPr>
          <w:rFonts w:ascii="Cambria" w:hAnsi="Cambria"/>
        </w:rPr>
        <w:t xml:space="preserve"> sia quello di mettere in contatto l’utenza, svolgendo attività di mera intermedia</w:t>
      </w:r>
      <w:r w:rsidR="003A2BBA">
        <w:rPr>
          <w:rFonts w:ascii="Cambria" w:hAnsi="Cambria"/>
        </w:rPr>
        <w:t>zione, o invece quello di distribuzion</w:t>
      </w:r>
      <w:r w:rsidR="0081009B">
        <w:rPr>
          <w:rFonts w:ascii="Cambria" w:hAnsi="Cambria"/>
        </w:rPr>
        <w:t>e</w:t>
      </w:r>
      <w:r w:rsidR="001B4760">
        <w:rPr>
          <w:rFonts w:ascii="Cambria" w:hAnsi="Cambria"/>
        </w:rPr>
        <w:t xml:space="preserve"> di cibi e bevande a domicilio, analogamente a quelle piattaforme che hanno come attività di impresa il trasporto di persone. Proprio rispetto a queste ultime la sentenza cita una pronuncia della Corte di Giustizia Europea – Grande Sezione, del 2017 </w:t>
      </w:r>
      <w:r w:rsidR="0081009B">
        <w:rPr>
          <w:rFonts w:ascii="Cambria" w:hAnsi="Cambria"/>
        </w:rPr>
        <w:t xml:space="preserve"> </w:t>
      </w:r>
      <w:r w:rsidR="001B4760">
        <w:rPr>
          <w:rFonts w:ascii="Cambria" w:hAnsi="Cambria"/>
        </w:rPr>
        <w:t xml:space="preserve">relativa a </w:t>
      </w:r>
      <w:proofErr w:type="spellStart"/>
      <w:r w:rsidR="001B4760">
        <w:rPr>
          <w:rFonts w:ascii="Cambria" w:hAnsi="Cambria"/>
        </w:rPr>
        <w:t>Uber</w:t>
      </w:r>
      <w:proofErr w:type="spellEnd"/>
      <w:r w:rsidR="001B4760">
        <w:rPr>
          <w:rFonts w:ascii="Cambria" w:hAnsi="Cambria"/>
        </w:rPr>
        <w:t xml:space="preserve"> System </w:t>
      </w:r>
      <w:proofErr w:type="spellStart"/>
      <w:r w:rsidR="001B4760">
        <w:rPr>
          <w:rFonts w:ascii="Cambria" w:hAnsi="Cambria"/>
        </w:rPr>
        <w:t>Spain</w:t>
      </w:r>
      <w:proofErr w:type="spellEnd"/>
      <w:r w:rsidR="001B4760">
        <w:rPr>
          <w:rFonts w:ascii="Cambria" w:hAnsi="Cambria"/>
        </w:rPr>
        <w:t xml:space="preserve">; due decisioni dei Tribunali delle Imprese di Minano e Torino; una sentenza della Corte d’Appello di Parigi sempre su </w:t>
      </w:r>
      <w:proofErr w:type="spellStart"/>
      <w:r w:rsidR="001B4760">
        <w:rPr>
          <w:rFonts w:ascii="Cambria" w:hAnsi="Cambria"/>
        </w:rPr>
        <w:t>Uber</w:t>
      </w:r>
      <w:proofErr w:type="spellEnd"/>
      <w:r w:rsidR="001B4760">
        <w:rPr>
          <w:rFonts w:ascii="Cambria" w:hAnsi="Cambria"/>
        </w:rPr>
        <w:t xml:space="preserve"> BV</w:t>
      </w:r>
      <w:r w:rsidR="004A0C9A">
        <w:rPr>
          <w:rFonts w:ascii="Cambria" w:hAnsi="Cambria"/>
        </w:rPr>
        <w:t xml:space="preserve"> e il recente </w:t>
      </w:r>
      <w:r w:rsidR="004A0C9A">
        <w:rPr>
          <w:rFonts w:ascii="Cambria" w:hAnsi="Cambria"/>
        </w:rPr>
        <w:lastRenderedPageBreak/>
        <w:t>decreto del Tribunale di Milano, Sez. Misure  del 27 maggio 2020 che ha disposto l’amministrazione</w:t>
      </w:r>
      <w:r w:rsidR="009C27F3">
        <w:rPr>
          <w:rFonts w:ascii="Cambria" w:hAnsi="Cambria"/>
        </w:rPr>
        <w:t xml:space="preserve"> giudiziaria di </w:t>
      </w:r>
      <w:proofErr w:type="spellStart"/>
      <w:r w:rsidR="009C27F3">
        <w:rPr>
          <w:rFonts w:ascii="Cambria" w:hAnsi="Cambria"/>
        </w:rPr>
        <w:t>Uber</w:t>
      </w:r>
      <w:proofErr w:type="spellEnd"/>
      <w:r w:rsidR="009C27F3">
        <w:rPr>
          <w:rFonts w:ascii="Cambria" w:hAnsi="Cambria"/>
        </w:rPr>
        <w:t xml:space="preserve"> </w:t>
      </w:r>
      <w:proofErr w:type="spellStart"/>
      <w:r w:rsidR="009C27F3">
        <w:rPr>
          <w:rFonts w:ascii="Cambria" w:hAnsi="Cambria"/>
        </w:rPr>
        <w:t>Italy</w:t>
      </w:r>
      <w:proofErr w:type="spellEnd"/>
      <w:r w:rsidR="009C27F3">
        <w:rPr>
          <w:rFonts w:ascii="Cambria" w:hAnsi="Cambria"/>
        </w:rPr>
        <w:t xml:space="preserve"> </w:t>
      </w:r>
      <w:proofErr w:type="spellStart"/>
      <w:r w:rsidR="009C27F3">
        <w:rPr>
          <w:rFonts w:ascii="Cambria" w:hAnsi="Cambria"/>
        </w:rPr>
        <w:t>srl</w:t>
      </w:r>
      <w:proofErr w:type="spellEnd"/>
      <w:r w:rsidR="009C27F3">
        <w:rPr>
          <w:rFonts w:ascii="Cambria" w:hAnsi="Cambria"/>
        </w:rPr>
        <w:t>: in tutti questi casi la piattaforma è stata ritenuta una impresa di trasporto.</w:t>
      </w:r>
      <w:r w:rsidR="004A0C9A">
        <w:rPr>
          <w:rFonts w:ascii="Cambria" w:hAnsi="Cambria"/>
        </w:rPr>
        <w:t xml:space="preserve"> </w:t>
      </w:r>
      <w:r w:rsidR="009C27F3">
        <w:rPr>
          <w:rFonts w:ascii="Cambria" w:hAnsi="Cambria"/>
        </w:rPr>
        <w:t>Ritiene il giudice di aderire a questo orientamento, evidenziando questo effetto: “</w:t>
      </w:r>
      <w:r w:rsidR="009C27F3" w:rsidRPr="009C27F3">
        <w:rPr>
          <w:rFonts w:ascii="Cambria" w:hAnsi="Cambria"/>
          <w:i/>
        </w:rPr>
        <w:t>se le piattaforme possono considerarsi imprese si apre, de facto, la possibilità che i suoi collaboratori lavorino per conto (e non semplicemente in nome)</w:t>
      </w:r>
      <w:r w:rsidR="00FB40DD">
        <w:rPr>
          <w:rFonts w:ascii="Cambria" w:hAnsi="Cambria"/>
          <w:i/>
        </w:rPr>
        <w:t xml:space="preserve"> </w:t>
      </w:r>
      <w:r w:rsidR="009C27F3" w:rsidRPr="009C27F3">
        <w:rPr>
          <w:rFonts w:ascii="Cambria" w:hAnsi="Cambria"/>
          <w:i/>
        </w:rPr>
        <w:t xml:space="preserve">della piattaforma stessa e che, dunque, siano inseriti in una organizzazione imprenditoriale, di mezzi materiali e </w:t>
      </w:r>
      <w:bookmarkStart w:id="0" w:name="_GoBack"/>
      <w:bookmarkEnd w:id="0"/>
      <w:r w:rsidR="009C27F3" w:rsidRPr="009C27F3">
        <w:rPr>
          <w:rFonts w:ascii="Cambria" w:hAnsi="Cambria"/>
          <w:i/>
        </w:rPr>
        <w:t>, di proprietà e nella disponibilità della piattaforma stessa e così del suo proprietario o utilizzatore</w:t>
      </w:r>
      <w:r w:rsidR="009C27F3">
        <w:rPr>
          <w:rFonts w:ascii="Cambria" w:hAnsi="Cambria"/>
        </w:rPr>
        <w:t>”.</w:t>
      </w:r>
    </w:p>
    <w:p w14:paraId="08969FE7" w14:textId="77777777" w:rsidR="000E575A" w:rsidRDefault="000E575A" w:rsidP="000E575A">
      <w:pPr>
        <w:spacing w:line="276" w:lineRule="auto"/>
        <w:jc w:val="both"/>
        <w:outlineLvl w:val="0"/>
        <w:rPr>
          <w:rFonts w:ascii="Cambria" w:hAnsi="Cambria"/>
        </w:rPr>
      </w:pPr>
    </w:p>
    <w:p w14:paraId="79CEAB82" w14:textId="15811632" w:rsidR="000E575A" w:rsidRDefault="000D6332" w:rsidP="000E575A">
      <w:pPr>
        <w:spacing w:line="276" w:lineRule="auto"/>
        <w:jc w:val="both"/>
        <w:outlineLvl w:val="0"/>
        <w:rPr>
          <w:rFonts w:ascii="Cambria" w:hAnsi="Cambria"/>
          <w:b/>
        </w:rPr>
      </w:pPr>
      <w:r w:rsidRPr="000D6332">
        <w:rPr>
          <w:rFonts w:ascii="Cambria" w:hAnsi="Cambria"/>
          <w:b/>
        </w:rPr>
        <w:t>2.2</w:t>
      </w:r>
      <w:r>
        <w:rPr>
          <w:rFonts w:ascii="Cambria" w:hAnsi="Cambria"/>
        </w:rPr>
        <w:t xml:space="preserve">  </w:t>
      </w:r>
      <w:r w:rsidR="0042739A">
        <w:rPr>
          <w:rFonts w:ascii="Cambria" w:hAnsi="Cambria"/>
        </w:rPr>
        <w:t xml:space="preserve"> </w:t>
      </w:r>
      <w:r>
        <w:rPr>
          <w:rFonts w:ascii="Cambria" w:hAnsi="Cambria"/>
        </w:rPr>
        <w:t xml:space="preserve">La seconda valutazione concerne </w:t>
      </w:r>
      <w:r w:rsidRPr="000D6332">
        <w:rPr>
          <w:rFonts w:ascii="Cambria" w:hAnsi="Cambria"/>
          <w:b/>
        </w:rPr>
        <w:t xml:space="preserve">l’attività dei lavoratori delle piattaforme digitali. </w:t>
      </w:r>
    </w:p>
    <w:p w14:paraId="7EAAAD46" w14:textId="5CFEE190" w:rsidR="00D07353" w:rsidRDefault="00657FCF" w:rsidP="000E575A">
      <w:pPr>
        <w:spacing w:line="276" w:lineRule="auto"/>
        <w:jc w:val="both"/>
        <w:outlineLvl w:val="0"/>
        <w:rPr>
          <w:rFonts w:ascii="Cambria" w:hAnsi="Cambria"/>
        </w:rPr>
      </w:pPr>
      <w:r>
        <w:rPr>
          <w:rFonts w:ascii="Cambria" w:hAnsi="Cambria"/>
        </w:rPr>
        <w:t>Il Tribunale di P</w:t>
      </w:r>
      <w:r w:rsidRPr="00657FCF">
        <w:rPr>
          <w:rFonts w:ascii="Cambria" w:hAnsi="Cambria"/>
        </w:rPr>
        <w:t>alermo</w:t>
      </w:r>
      <w:r>
        <w:rPr>
          <w:rFonts w:ascii="Cambria" w:hAnsi="Cambria"/>
        </w:rPr>
        <w:t xml:space="preserve">, richiamando molte pronunce </w:t>
      </w:r>
      <w:r w:rsidR="008861E3">
        <w:rPr>
          <w:rFonts w:ascii="Cambria" w:hAnsi="Cambria"/>
        </w:rPr>
        <w:t xml:space="preserve">spagnole </w:t>
      </w:r>
      <w:r w:rsidR="00675737">
        <w:rPr>
          <w:rFonts w:ascii="Cambria" w:hAnsi="Cambria"/>
        </w:rPr>
        <w:t xml:space="preserve">(e cinesi) </w:t>
      </w:r>
      <w:r w:rsidR="008861E3">
        <w:rPr>
          <w:rFonts w:ascii="Cambria" w:hAnsi="Cambria"/>
        </w:rPr>
        <w:t xml:space="preserve">sul lavoro dei </w:t>
      </w:r>
      <w:r w:rsidR="008861E3" w:rsidRPr="008861E3">
        <w:rPr>
          <w:rFonts w:ascii="Cambria" w:hAnsi="Cambria"/>
          <w:i/>
        </w:rPr>
        <w:t>drivers</w:t>
      </w:r>
      <w:r w:rsidR="008861E3">
        <w:rPr>
          <w:rFonts w:ascii="Cambria" w:hAnsi="Cambria"/>
        </w:rPr>
        <w:t xml:space="preserve"> e dei </w:t>
      </w:r>
      <w:r w:rsidRPr="008861E3">
        <w:rPr>
          <w:rFonts w:ascii="Cambria" w:hAnsi="Cambria"/>
          <w:i/>
        </w:rPr>
        <w:t xml:space="preserve"> </w:t>
      </w:r>
      <w:proofErr w:type="spellStart"/>
      <w:r w:rsidR="008861E3" w:rsidRPr="008861E3">
        <w:rPr>
          <w:rFonts w:ascii="Cambria" w:hAnsi="Cambria"/>
          <w:i/>
        </w:rPr>
        <w:t>r</w:t>
      </w:r>
      <w:r w:rsidR="008861E3">
        <w:rPr>
          <w:rFonts w:ascii="Cambria" w:hAnsi="Cambria"/>
          <w:i/>
        </w:rPr>
        <w:t>i</w:t>
      </w:r>
      <w:r w:rsidR="008861E3" w:rsidRPr="008861E3">
        <w:rPr>
          <w:rFonts w:ascii="Cambria" w:hAnsi="Cambria"/>
          <w:i/>
        </w:rPr>
        <w:t>ders</w:t>
      </w:r>
      <w:proofErr w:type="spellEnd"/>
      <w:r w:rsidR="00675737">
        <w:rPr>
          <w:rFonts w:ascii="Cambria" w:hAnsi="Cambria"/>
          <w:i/>
        </w:rPr>
        <w:t>,</w:t>
      </w:r>
      <w:r w:rsidR="008861E3">
        <w:rPr>
          <w:rFonts w:ascii="Cambria" w:hAnsi="Cambria"/>
        </w:rPr>
        <w:t xml:space="preserve"> individua il confine tra autonomia e subordinazione</w:t>
      </w:r>
      <w:r w:rsidR="003A62A9">
        <w:rPr>
          <w:rFonts w:ascii="Cambria" w:hAnsi="Cambria"/>
        </w:rPr>
        <w:t xml:space="preserve"> nella predeterminazione oraria per l’esercizio dell’attività: </w:t>
      </w:r>
      <w:r w:rsidR="003A62A9" w:rsidRPr="003A62A9">
        <w:rPr>
          <w:rFonts w:ascii="Cambria" w:hAnsi="Cambria"/>
          <w:i/>
        </w:rPr>
        <w:t>“E’ infatti noto che l’azienda stabilisce fasce orarie (</w:t>
      </w:r>
      <w:r w:rsidR="003A62A9" w:rsidRPr="003A62A9">
        <w:rPr>
          <w:rFonts w:ascii="Cambria" w:hAnsi="Cambria"/>
        </w:rPr>
        <w:t>slot</w:t>
      </w:r>
      <w:r w:rsidR="003A62A9" w:rsidRPr="003A62A9">
        <w:rPr>
          <w:rFonts w:ascii="Cambria" w:hAnsi="Cambria"/>
          <w:i/>
        </w:rPr>
        <w:t xml:space="preserve">, nel gergo maggiormente ricorrente tra le piattaforme di consegna di pasti e bevande) all’interno delle quali si inseriscono i </w:t>
      </w:r>
      <w:proofErr w:type="spellStart"/>
      <w:r w:rsidR="003A62A9" w:rsidRPr="003A62A9">
        <w:rPr>
          <w:rFonts w:ascii="Cambria" w:hAnsi="Cambria"/>
        </w:rPr>
        <w:t>riders</w:t>
      </w:r>
      <w:proofErr w:type="spellEnd"/>
      <w:r w:rsidR="003A62A9" w:rsidRPr="003A62A9">
        <w:rPr>
          <w:rFonts w:ascii="Cambria" w:hAnsi="Cambria"/>
          <w:i/>
        </w:rPr>
        <w:t xml:space="preserve"> e i </w:t>
      </w:r>
      <w:r w:rsidR="003A62A9" w:rsidRPr="003A62A9">
        <w:rPr>
          <w:rFonts w:ascii="Cambria" w:hAnsi="Cambria"/>
        </w:rPr>
        <w:t>drivers</w:t>
      </w:r>
      <w:r w:rsidR="003A62A9" w:rsidRPr="003A62A9">
        <w:rPr>
          <w:rFonts w:ascii="Cambria" w:hAnsi="Cambria"/>
          <w:i/>
        </w:rPr>
        <w:t xml:space="preserve"> in base a meccanismi di auto assegnazione, influenzati tuttavia (almeno nel caso di specie) anche da scelte dell’impresa, mediante l’applicazione di algoritmi”</w:t>
      </w:r>
      <w:r w:rsidR="005F3E3C">
        <w:rPr>
          <w:rFonts w:ascii="Cambria" w:hAnsi="Cambria"/>
          <w:i/>
        </w:rPr>
        <w:t xml:space="preserve">. </w:t>
      </w:r>
      <w:r w:rsidR="005F3E3C">
        <w:rPr>
          <w:rFonts w:ascii="Cambria" w:hAnsi="Cambria"/>
        </w:rPr>
        <w:t xml:space="preserve">In particolare la Corte Suprema Spagnola con sentenza 805/2020 </w:t>
      </w:r>
      <w:r w:rsidR="008D4004">
        <w:rPr>
          <w:rFonts w:ascii="Cambria" w:hAnsi="Cambria"/>
        </w:rPr>
        <w:t>ha evidenziato che nella società postindustriale il concetto di dipendenza è diventato più flessibile in quanto le innovazioni tecnologiche hanno favorito la nascita di sistemi di controllo digitalizzati per la prestazione dei servizi.</w:t>
      </w:r>
      <w:r w:rsidR="007E601C">
        <w:rPr>
          <w:rFonts w:ascii="Cambria" w:hAnsi="Cambria"/>
        </w:rPr>
        <w:t xml:space="preserve"> Interpretando in modo evolutivo la norma del codice civile che definisce il lavoro subordinato (art. 2094) </w:t>
      </w:r>
      <w:r w:rsidR="003A744B">
        <w:rPr>
          <w:rFonts w:ascii="Cambria" w:hAnsi="Cambria"/>
        </w:rPr>
        <w:t xml:space="preserve">e richiamando la </w:t>
      </w:r>
      <w:proofErr w:type="gramStart"/>
      <w:r w:rsidR="003A744B">
        <w:rPr>
          <w:rFonts w:ascii="Cambria" w:hAnsi="Cambria"/>
        </w:rPr>
        <w:t>Direttiva  UE</w:t>
      </w:r>
      <w:proofErr w:type="gramEnd"/>
      <w:r w:rsidR="003A744B">
        <w:rPr>
          <w:rFonts w:ascii="Cambria" w:hAnsi="Cambria"/>
        </w:rPr>
        <w:t xml:space="preserve"> 2019/1152 (da recepire entro il 2022) il giudice approda alla conclusione che  i</w:t>
      </w:r>
      <w:r w:rsidR="007E601C">
        <w:rPr>
          <w:rFonts w:ascii="Cambria" w:hAnsi="Cambria"/>
        </w:rPr>
        <w:t>l lavoro su piattaforma digitale</w:t>
      </w:r>
      <w:r w:rsidR="003A744B">
        <w:rPr>
          <w:rFonts w:ascii="Cambria" w:hAnsi="Cambria"/>
        </w:rPr>
        <w:t xml:space="preserve"> può rientrare nell’</w:t>
      </w:r>
      <w:r w:rsidR="00D07353">
        <w:rPr>
          <w:rFonts w:ascii="Cambria" w:hAnsi="Cambria"/>
        </w:rPr>
        <w:t>ambito del lavoro subordi</w:t>
      </w:r>
      <w:r w:rsidR="003A744B">
        <w:rPr>
          <w:rFonts w:ascii="Cambria" w:hAnsi="Cambria"/>
        </w:rPr>
        <w:t>n</w:t>
      </w:r>
      <w:r w:rsidR="00D07353">
        <w:rPr>
          <w:rFonts w:ascii="Cambria" w:hAnsi="Cambria"/>
        </w:rPr>
        <w:t>a</w:t>
      </w:r>
      <w:r w:rsidR="003A744B">
        <w:rPr>
          <w:rFonts w:ascii="Cambria" w:hAnsi="Cambria"/>
        </w:rPr>
        <w:t>to.</w:t>
      </w:r>
    </w:p>
    <w:p w14:paraId="5AEC6456" w14:textId="77777777" w:rsidR="003D0D83" w:rsidRDefault="003D0D83" w:rsidP="000E575A">
      <w:pPr>
        <w:spacing w:line="276" w:lineRule="auto"/>
        <w:jc w:val="both"/>
        <w:outlineLvl w:val="0"/>
        <w:rPr>
          <w:rFonts w:ascii="Cambria" w:hAnsi="Cambria"/>
        </w:rPr>
      </w:pPr>
    </w:p>
    <w:p w14:paraId="3DCCDA49" w14:textId="5EC689E3" w:rsidR="000D6332" w:rsidRDefault="00D07353" w:rsidP="000E575A">
      <w:pPr>
        <w:spacing w:line="276" w:lineRule="auto"/>
        <w:jc w:val="both"/>
        <w:outlineLvl w:val="0"/>
        <w:rPr>
          <w:rFonts w:ascii="Cambria" w:hAnsi="Cambria"/>
        </w:rPr>
      </w:pPr>
      <w:r w:rsidRPr="0042739A">
        <w:rPr>
          <w:rFonts w:ascii="Cambria" w:hAnsi="Cambria"/>
          <w:b/>
        </w:rPr>
        <w:t>2</w:t>
      </w:r>
      <w:r w:rsidR="00A243E9" w:rsidRPr="0042739A">
        <w:rPr>
          <w:rFonts w:ascii="Cambria" w:hAnsi="Cambria"/>
          <w:b/>
        </w:rPr>
        <w:t>.3.</w:t>
      </w:r>
      <w:r w:rsidR="00A243E9">
        <w:rPr>
          <w:rFonts w:ascii="Cambria" w:hAnsi="Cambria"/>
        </w:rPr>
        <w:t xml:space="preserve"> </w:t>
      </w:r>
      <w:r w:rsidR="0042739A">
        <w:rPr>
          <w:rFonts w:ascii="Cambria" w:hAnsi="Cambria"/>
        </w:rPr>
        <w:t xml:space="preserve"> </w:t>
      </w:r>
      <w:r w:rsidR="00A243E9">
        <w:rPr>
          <w:rFonts w:ascii="Cambria" w:hAnsi="Cambria"/>
        </w:rPr>
        <w:t>Uno degli argomenti fatti propri dal</w:t>
      </w:r>
      <w:r w:rsidR="00A71C5F">
        <w:rPr>
          <w:rFonts w:ascii="Cambria" w:hAnsi="Cambria"/>
        </w:rPr>
        <w:t xml:space="preserve"> Tribunale </w:t>
      </w:r>
      <w:r w:rsidR="00A243E9">
        <w:rPr>
          <w:rFonts w:ascii="Cambria" w:hAnsi="Cambria"/>
        </w:rPr>
        <w:t>riprende la tesi –</w:t>
      </w:r>
      <w:r w:rsidR="00803C9C">
        <w:rPr>
          <w:rFonts w:ascii="Cambria" w:hAnsi="Cambria"/>
        </w:rPr>
        <w:t xml:space="preserve"> recepita da </w:t>
      </w:r>
      <w:r w:rsidR="00A243E9">
        <w:rPr>
          <w:rFonts w:ascii="Cambria" w:hAnsi="Cambria"/>
        </w:rPr>
        <w:t>una sentenza della Corte Costituzionale di 25 anni fa</w:t>
      </w:r>
      <w:r w:rsidR="00803C9C">
        <w:rPr>
          <w:rFonts w:ascii="Cambria" w:hAnsi="Cambria"/>
        </w:rPr>
        <w:t xml:space="preserve">, la n. 30 del </w:t>
      </w:r>
      <w:proofErr w:type="gramStart"/>
      <w:r w:rsidR="00803C9C" w:rsidRPr="003D0D83">
        <w:rPr>
          <w:rFonts w:ascii="Cambria" w:hAnsi="Cambria"/>
          <w:color w:val="000000" w:themeColor="text1"/>
        </w:rPr>
        <w:t>1996</w:t>
      </w:r>
      <w:r w:rsidR="00A243E9" w:rsidRPr="003D0D83">
        <w:rPr>
          <w:rFonts w:ascii="Cambria" w:hAnsi="Cambria"/>
          <w:color w:val="000000" w:themeColor="text1"/>
        </w:rPr>
        <w:t xml:space="preserve"> </w:t>
      </w:r>
      <w:r w:rsidR="00A153A2" w:rsidRPr="003D0D83">
        <w:rPr>
          <w:rFonts w:ascii="Cambria" w:hAnsi="Cambria"/>
          <w:color w:val="000000" w:themeColor="text1"/>
        </w:rPr>
        <w:t xml:space="preserve"> (</w:t>
      </w:r>
      <w:proofErr w:type="gramEnd"/>
      <w:r w:rsidR="00A153A2" w:rsidRPr="003D0D83">
        <w:rPr>
          <w:rFonts w:ascii="Cambria" w:hAnsi="Cambria"/>
          <w:color w:val="000000" w:themeColor="text1"/>
        </w:rPr>
        <w:t xml:space="preserve">est. </w:t>
      </w:r>
      <w:proofErr w:type="spellStart"/>
      <w:r w:rsidR="00A153A2" w:rsidRPr="003D0D83">
        <w:rPr>
          <w:rFonts w:ascii="Cambria" w:hAnsi="Cambria"/>
          <w:color w:val="000000" w:themeColor="text1"/>
        </w:rPr>
        <w:t>Mengoni</w:t>
      </w:r>
      <w:proofErr w:type="spellEnd"/>
      <w:r w:rsidR="00A153A2" w:rsidRPr="003D0D83">
        <w:rPr>
          <w:rFonts w:ascii="Cambria" w:hAnsi="Cambria"/>
          <w:color w:val="000000" w:themeColor="text1"/>
        </w:rPr>
        <w:t xml:space="preserve">) </w:t>
      </w:r>
      <w:r w:rsidR="00A243E9" w:rsidRPr="003D0D83">
        <w:rPr>
          <w:rFonts w:ascii="Cambria" w:hAnsi="Cambria"/>
          <w:color w:val="000000" w:themeColor="text1"/>
        </w:rPr>
        <w:t xml:space="preserve">– della </w:t>
      </w:r>
      <w:r w:rsidR="00595A02">
        <w:rPr>
          <w:rFonts w:ascii="Cambria" w:hAnsi="Cambria"/>
        </w:rPr>
        <w:t>cd. “</w:t>
      </w:r>
      <w:proofErr w:type="gramStart"/>
      <w:r w:rsidR="00595A02" w:rsidRPr="00803C9C">
        <w:rPr>
          <w:rFonts w:ascii="Cambria" w:hAnsi="Cambria"/>
          <w:b/>
        </w:rPr>
        <w:t>doppia</w:t>
      </w:r>
      <w:proofErr w:type="gramEnd"/>
      <w:r w:rsidR="00595A02" w:rsidRPr="00803C9C">
        <w:rPr>
          <w:rFonts w:ascii="Cambria" w:hAnsi="Cambria"/>
          <w:b/>
        </w:rPr>
        <w:t xml:space="preserve"> alienità</w:t>
      </w:r>
      <w:r w:rsidR="00595A02">
        <w:rPr>
          <w:rFonts w:ascii="Cambria" w:hAnsi="Cambria"/>
        </w:rPr>
        <w:t>” :</w:t>
      </w:r>
      <w:r w:rsidR="00803C9C">
        <w:rPr>
          <w:rFonts w:ascii="Cambria" w:hAnsi="Cambria"/>
        </w:rPr>
        <w:t xml:space="preserve"> “</w:t>
      </w:r>
      <w:r w:rsidR="00803C9C" w:rsidRPr="00803C9C">
        <w:rPr>
          <w:rFonts w:ascii="Cambria" w:hAnsi="Cambria"/>
          <w:i/>
        </w:rPr>
        <w:t xml:space="preserve">l’alienità – nel senso di destinazione esclusiva ad altri – </w:t>
      </w:r>
      <w:r w:rsidR="00803C9C" w:rsidRPr="00803C9C">
        <w:rPr>
          <w:rFonts w:ascii="Cambria" w:hAnsi="Cambria"/>
          <w:b/>
          <w:i/>
        </w:rPr>
        <w:t>del risultato</w:t>
      </w:r>
      <w:r w:rsidR="00803C9C" w:rsidRPr="00803C9C">
        <w:rPr>
          <w:rFonts w:ascii="Cambria" w:hAnsi="Cambria"/>
          <w:i/>
        </w:rPr>
        <w:t xml:space="preserve"> per il cui conseguimento la pre</w:t>
      </w:r>
      <w:r w:rsidR="00803C9C">
        <w:rPr>
          <w:rFonts w:ascii="Cambria" w:hAnsi="Cambria"/>
          <w:i/>
        </w:rPr>
        <w:t>stazione di lavoro è utilizzata</w:t>
      </w:r>
      <w:r w:rsidR="00803C9C" w:rsidRPr="00803C9C">
        <w:rPr>
          <w:rFonts w:ascii="Cambria" w:hAnsi="Cambria"/>
          <w:i/>
        </w:rPr>
        <w:t xml:space="preserve">; mentre la seconda è rappresentata dall’alienità </w:t>
      </w:r>
      <w:r w:rsidR="00803C9C" w:rsidRPr="00803C9C">
        <w:rPr>
          <w:rFonts w:ascii="Cambria" w:hAnsi="Cambria"/>
          <w:b/>
          <w:i/>
        </w:rPr>
        <w:t>dell’organizzazione</w:t>
      </w:r>
      <w:r w:rsidR="00803C9C" w:rsidRPr="00803C9C">
        <w:rPr>
          <w:rFonts w:ascii="Cambria" w:hAnsi="Cambria"/>
          <w:i/>
        </w:rPr>
        <w:t xml:space="preserve"> produttiva in cui la prestazione si inserisce (c.d. etero-organizzazione)</w:t>
      </w:r>
      <w:r w:rsidR="00803C9C">
        <w:rPr>
          <w:rFonts w:ascii="Cambria" w:hAnsi="Cambria"/>
        </w:rPr>
        <w:t>”</w:t>
      </w:r>
      <w:r w:rsidR="0042739A">
        <w:rPr>
          <w:rFonts w:ascii="Cambria" w:hAnsi="Cambria"/>
        </w:rPr>
        <w:t xml:space="preserve">. Tale principio, ripreso da una unica sentenza della Corte di Cassazione del 2007 (la n. 820), valorizza maggiormente il criterio della organizzazione in capo ad altri (ed addirittura quello della dipendenza socio-economica del prestatore) piuttosto che quello del potere direttivo esercitato da altri.  </w:t>
      </w:r>
    </w:p>
    <w:p w14:paraId="39D2301A" w14:textId="77777777" w:rsidR="003D0D83" w:rsidRDefault="003D0D83" w:rsidP="000E575A">
      <w:pPr>
        <w:spacing w:line="276" w:lineRule="auto"/>
        <w:jc w:val="both"/>
        <w:outlineLvl w:val="0"/>
        <w:rPr>
          <w:rFonts w:ascii="Cambria" w:hAnsi="Cambria"/>
        </w:rPr>
      </w:pPr>
    </w:p>
    <w:p w14:paraId="170141D3" w14:textId="79716A9E" w:rsidR="00AE335C" w:rsidRDefault="00AE335C" w:rsidP="000E575A">
      <w:pPr>
        <w:spacing w:line="276" w:lineRule="auto"/>
        <w:jc w:val="both"/>
        <w:outlineLvl w:val="0"/>
        <w:rPr>
          <w:rFonts w:ascii="Cambria" w:hAnsi="Cambria"/>
        </w:rPr>
      </w:pPr>
      <w:proofErr w:type="gramStart"/>
      <w:r w:rsidRPr="00431D68">
        <w:rPr>
          <w:rFonts w:ascii="Cambria" w:hAnsi="Cambria"/>
          <w:b/>
        </w:rPr>
        <w:t>2.4</w:t>
      </w:r>
      <w:r>
        <w:rPr>
          <w:rFonts w:ascii="Cambria" w:hAnsi="Cambria"/>
        </w:rPr>
        <w:t xml:space="preserve">  </w:t>
      </w:r>
      <w:r w:rsidR="00431D68">
        <w:rPr>
          <w:rFonts w:ascii="Cambria" w:hAnsi="Cambria"/>
        </w:rPr>
        <w:t>P</w:t>
      </w:r>
      <w:r w:rsidR="00CE449F">
        <w:rPr>
          <w:rFonts w:ascii="Cambria" w:hAnsi="Cambria"/>
        </w:rPr>
        <w:t>er</w:t>
      </w:r>
      <w:proofErr w:type="gramEnd"/>
      <w:r w:rsidR="00CE449F">
        <w:rPr>
          <w:rFonts w:ascii="Cambria" w:hAnsi="Cambria"/>
        </w:rPr>
        <w:t xml:space="preserve"> quanto riguarda la asserita </w:t>
      </w:r>
      <w:r w:rsidR="00CE449F" w:rsidRPr="00431D68">
        <w:rPr>
          <w:rFonts w:ascii="Cambria" w:hAnsi="Cambria"/>
          <w:b/>
        </w:rPr>
        <w:t xml:space="preserve">libertà del rider </w:t>
      </w:r>
      <w:r w:rsidR="00CE449F">
        <w:rPr>
          <w:rFonts w:ascii="Cambria" w:hAnsi="Cambria"/>
        </w:rPr>
        <w:t xml:space="preserve">di scegliere se e quando lavorare (che farebbero qualificare il rapporto come “autonomo”) il Tribunale di Palermo la definisce </w:t>
      </w:r>
      <w:r w:rsidR="00CE449F" w:rsidRPr="00431D68">
        <w:rPr>
          <w:rFonts w:ascii="Cambria" w:hAnsi="Cambria"/>
          <w:i/>
        </w:rPr>
        <w:t xml:space="preserve">“apparente e fittizia, perché, a tutto concedere, il lavoratore può scegliere di prenotarsi per i turni che la piattaforma  (e quindi il datore di lavoro che ne è titolate o ne ha il controllo) mette a sua disposizione in ragione del suo punteggio. Egli, inoltre, per poter realmente svolgere la prestazione, deve essere loggato nel periodo di tempo che precede l’assegnazione della consegna, avere il cellulare carico in misura almeno pari al 20% e trovarsi nelle vicinanze del locale presso cui la merce deve essere ritirata, poiché altrimenti l’algoritmo non lo selezionerà, </w:t>
      </w:r>
      <w:proofErr w:type="spellStart"/>
      <w:r w:rsidR="00CE449F" w:rsidRPr="00431D68">
        <w:rPr>
          <w:rFonts w:ascii="Cambria" w:hAnsi="Cambria"/>
          <w:i/>
        </w:rPr>
        <w:t>bench</w:t>
      </w:r>
      <w:r w:rsidR="00A153A2">
        <w:rPr>
          <w:rFonts w:ascii="Cambria" w:hAnsi="Cambria"/>
          <w:i/>
        </w:rPr>
        <w:t>è</w:t>
      </w:r>
      <w:proofErr w:type="spellEnd"/>
      <w:r w:rsidR="00CE449F" w:rsidRPr="00431D68">
        <w:rPr>
          <w:rFonts w:ascii="Cambria" w:hAnsi="Cambria"/>
          <w:i/>
        </w:rPr>
        <w:t xml:space="preserve"> egli avesse prenotato e non disdetto lo slot, con la conseguenza che, in verità, non è lui che sceglie quando lavorare o meno, poiché le consegne vengono assegnate dalla piattaforma tramite </w:t>
      </w:r>
      <w:r w:rsidR="00CE449F" w:rsidRPr="00431D68">
        <w:rPr>
          <w:rFonts w:ascii="Cambria" w:hAnsi="Cambria"/>
          <w:i/>
        </w:rPr>
        <w:lastRenderedPageBreak/>
        <w:t xml:space="preserve">l’algoritmo, sulla scorta di criteri del tutto estranei alle preferenze e allo stesso </w:t>
      </w:r>
      <w:r w:rsidR="00431D68" w:rsidRPr="00431D68">
        <w:rPr>
          <w:rFonts w:ascii="Cambria" w:hAnsi="Cambria"/>
          <w:i/>
        </w:rPr>
        <w:t>generale interesse del lavoratore</w:t>
      </w:r>
      <w:r w:rsidR="00431D68">
        <w:rPr>
          <w:rFonts w:ascii="Cambria" w:hAnsi="Cambria"/>
        </w:rPr>
        <w:t>”.</w:t>
      </w:r>
    </w:p>
    <w:p w14:paraId="143D3543" w14:textId="77777777" w:rsidR="000E575A" w:rsidRDefault="000E575A" w:rsidP="000E575A">
      <w:pPr>
        <w:spacing w:line="276" w:lineRule="auto"/>
        <w:jc w:val="both"/>
        <w:outlineLvl w:val="0"/>
        <w:rPr>
          <w:rFonts w:ascii="Cambria" w:hAnsi="Cambria"/>
        </w:rPr>
      </w:pPr>
    </w:p>
    <w:p w14:paraId="7DC78233" w14:textId="1D1E83C3" w:rsidR="00431D68" w:rsidRDefault="00431D68" w:rsidP="000E575A">
      <w:pPr>
        <w:spacing w:line="276" w:lineRule="auto"/>
        <w:jc w:val="both"/>
        <w:outlineLvl w:val="0"/>
        <w:rPr>
          <w:rFonts w:ascii="Cambria" w:hAnsi="Cambria"/>
          <w:i/>
        </w:rPr>
      </w:pPr>
      <w:proofErr w:type="gramStart"/>
      <w:r w:rsidRPr="00431D68">
        <w:rPr>
          <w:rFonts w:ascii="Cambria" w:hAnsi="Cambria"/>
          <w:b/>
        </w:rPr>
        <w:t>2.5</w:t>
      </w:r>
      <w:r>
        <w:rPr>
          <w:rFonts w:ascii="Cambria" w:hAnsi="Cambria"/>
        </w:rPr>
        <w:t xml:space="preserve">  Del</w:t>
      </w:r>
      <w:proofErr w:type="gramEnd"/>
      <w:r>
        <w:rPr>
          <w:rFonts w:ascii="Cambria" w:hAnsi="Cambria"/>
        </w:rPr>
        <w:t xml:space="preserve"> resto i turni di prenotazione (slot) si aprono sull’</w:t>
      </w:r>
      <w:proofErr w:type="spellStart"/>
      <w:r>
        <w:rPr>
          <w:rFonts w:ascii="Cambria" w:hAnsi="Cambria"/>
        </w:rPr>
        <w:t>app</w:t>
      </w:r>
      <w:proofErr w:type="spellEnd"/>
      <w:r>
        <w:rPr>
          <w:rFonts w:ascii="Cambria" w:hAnsi="Cambria"/>
        </w:rPr>
        <w:t xml:space="preserve"> e possono essere prenotati dai lavoratori in ordine di </w:t>
      </w:r>
      <w:r w:rsidRPr="004F4A08">
        <w:rPr>
          <w:rFonts w:ascii="Cambria" w:hAnsi="Cambria"/>
          <w:b/>
        </w:rPr>
        <w:t>punte</w:t>
      </w:r>
      <w:r w:rsidR="00944ED0" w:rsidRPr="004F4A08">
        <w:rPr>
          <w:rFonts w:ascii="Cambria" w:hAnsi="Cambria"/>
          <w:b/>
        </w:rPr>
        <w:t>ggio</w:t>
      </w:r>
      <w:r w:rsidR="00944ED0">
        <w:rPr>
          <w:rFonts w:ascii="Cambria" w:hAnsi="Cambria"/>
        </w:rPr>
        <w:t xml:space="preserve"> dai medesimi posseduto, punteggio</w:t>
      </w:r>
      <w:r>
        <w:rPr>
          <w:rFonts w:ascii="Cambria" w:hAnsi="Cambria"/>
        </w:rPr>
        <w:t xml:space="preserve"> assegnato</w:t>
      </w:r>
      <w:r w:rsidR="00944ED0">
        <w:rPr>
          <w:rFonts w:ascii="Cambria" w:hAnsi="Cambria"/>
        </w:rPr>
        <w:t xml:space="preserve"> dall’algoritmo</w:t>
      </w:r>
      <w:r>
        <w:rPr>
          <w:rFonts w:ascii="Cambria" w:hAnsi="Cambria"/>
        </w:rPr>
        <w:t xml:space="preserve"> con determinati criteri</w:t>
      </w:r>
      <w:r w:rsidR="00B32757">
        <w:rPr>
          <w:rStyle w:val="Rimandonotaapidipagina"/>
          <w:rFonts w:ascii="Cambria" w:hAnsi="Cambria"/>
        </w:rPr>
        <w:footnoteReference w:id="3"/>
      </w:r>
      <w:r>
        <w:rPr>
          <w:rFonts w:ascii="Cambria" w:hAnsi="Cambria"/>
        </w:rPr>
        <w:t xml:space="preserve"> </w:t>
      </w:r>
      <w:r w:rsidR="00944ED0">
        <w:rPr>
          <w:rFonts w:ascii="Cambria" w:hAnsi="Cambria"/>
        </w:rPr>
        <w:t xml:space="preserve">per cui è possibile che, al momento dell’apertura sul suo profilo della piattaforma di prenotazione degli slot, il singolo rider trovi i turni migliori e a lui più graditi già tutti prenotati dai colleghi che hanno un punteggio più alto del suo. </w:t>
      </w:r>
      <w:r w:rsidR="00F32503">
        <w:rPr>
          <w:rFonts w:ascii="Cambria" w:hAnsi="Cambria"/>
        </w:rPr>
        <w:t xml:space="preserve">Dalla circostanza che il punteggio aumenta in modo premiale </w:t>
      </w:r>
      <w:r w:rsidR="004F4A08">
        <w:rPr>
          <w:rFonts w:ascii="Cambria" w:hAnsi="Cambria"/>
        </w:rPr>
        <w:t>il giudice deduce che “</w:t>
      </w:r>
      <w:r w:rsidR="004F4A08" w:rsidRPr="004F4A08">
        <w:rPr>
          <w:rFonts w:ascii="Cambria" w:hAnsi="Cambria"/>
          <w:i/>
        </w:rPr>
        <w:t xml:space="preserve">il suo mancato aumento o la sua riduzione </w:t>
      </w:r>
      <w:proofErr w:type="gramStart"/>
      <w:r w:rsidR="004F4A08" w:rsidRPr="004F4A08">
        <w:rPr>
          <w:rFonts w:ascii="Cambria" w:hAnsi="Cambria"/>
          <w:i/>
        </w:rPr>
        <w:t>( a</w:t>
      </w:r>
      <w:proofErr w:type="gramEnd"/>
      <w:r w:rsidR="004F4A08" w:rsidRPr="004F4A08">
        <w:rPr>
          <w:rFonts w:ascii="Cambria" w:hAnsi="Cambria"/>
          <w:i/>
        </w:rPr>
        <w:t xml:space="preserve"> causa di condotte che in sostanza corrispondono a una negativa valutazione nei predetti parametri) costituisc</w:t>
      </w:r>
      <w:r w:rsidR="004F4A08">
        <w:rPr>
          <w:rFonts w:ascii="Cambria" w:hAnsi="Cambria"/>
          <w:i/>
        </w:rPr>
        <w:t>o</w:t>
      </w:r>
      <w:r w:rsidR="004F4A08" w:rsidRPr="004F4A08">
        <w:rPr>
          <w:rFonts w:ascii="Cambria" w:hAnsi="Cambria"/>
          <w:i/>
        </w:rPr>
        <w:t xml:space="preserve">no delle vere e proprie </w:t>
      </w:r>
      <w:r w:rsidR="004F4A08" w:rsidRPr="004F4A08">
        <w:rPr>
          <w:rFonts w:ascii="Cambria" w:hAnsi="Cambria"/>
          <w:b/>
          <w:i/>
        </w:rPr>
        <w:t>sanzioni disciplinari atipiche</w:t>
      </w:r>
      <w:r w:rsidR="004F4A08" w:rsidRPr="004F4A08">
        <w:rPr>
          <w:rFonts w:ascii="Cambria" w:hAnsi="Cambria"/>
          <w:i/>
        </w:rPr>
        <w:t>, sanzionando in sostanza un rendimento del lavoratore inferiore alle sue potenzialità con una retrocessione nel  punteggio e quindi nella possibilità di lavorare a condizioni migliori o più vantaggiose”</w:t>
      </w:r>
      <w:r w:rsidR="00131455">
        <w:rPr>
          <w:rFonts w:ascii="Cambria" w:hAnsi="Cambria"/>
          <w:i/>
        </w:rPr>
        <w:t>.</w:t>
      </w:r>
    </w:p>
    <w:p w14:paraId="0B310E8E" w14:textId="77777777" w:rsidR="000E575A" w:rsidRDefault="000E575A" w:rsidP="000E575A">
      <w:pPr>
        <w:spacing w:line="276" w:lineRule="auto"/>
        <w:jc w:val="both"/>
        <w:outlineLvl w:val="0"/>
        <w:rPr>
          <w:rFonts w:ascii="Cambria" w:hAnsi="Cambria"/>
          <w:i/>
        </w:rPr>
      </w:pPr>
    </w:p>
    <w:p w14:paraId="3BA0A674" w14:textId="7D0BE6A9" w:rsidR="00131455" w:rsidRDefault="00131455" w:rsidP="000E575A">
      <w:pPr>
        <w:spacing w:line="276" w:lineRule="auto"/>
        <w:jc w:val="both"/>
        <w:outlineLvl w:val="0"/>
        <w:rPr>
          <w:rFonts w:ascii="Cambria" w:hAnsi="Cambria"/>
          <w:i/>
        </w:rPr>
      </w:pPr>
      <w:proofErr w:type="gramStart"/>
      <w:r w:rsidRPr="00131455">
        <w:rPr>
          <w:rFonts w:ascii="Cambria" w:hAnsi="Cambria"/>
          <w:b/>
        </w:rPr>
        <w:t>2.6</w:t>
      </w:r>
      <w:r>
        <w:rPr>
          <w:rFonts w:ascii="Cambria" w:hAnsi="Cambria"/>
        </w:rPr>
        <w:t xml:space="preserve">  le</w:t>
      </w:r>
      <w:proofErr w:type="gramEnd"/>
      <w:r>
        <w:rPr>
          <w:rFonts w:ascii="Cambria" w:hAnsi="Cambria"/>
        </w:rPr>
        <w:t xml:space="preserve"> modalità di assegnazione degli incarichi di consegna da parte dell’algoritmo (e quindi del datore di lavoro) costringono il rider a “</w:t>
      </w:r>
      <w:r w:rsidRPr="00131455">
        <w:rPr>
          <w:rFonts w:ascii="Cambria" w:hAnsi="Cambria"/>
          <w:b/>
          <w:i/>
        </w:rPr>
        <w:t>essere a disposizione</w:t>
      </w:r>
      <w:r w:rsidRPr="00131455">
        <w:rPr>
          <w:rFonts w:ascii="Cambria" w:hAnsi="Cambria"/>
          <w:i/>
        </w:rPr>
        <w:t xml:space="preserve"> nel periodo di tempo antecedente l’assegnazione, mediante la connessione all’</w:t>
      </w:r>
      <w:proofErr w:type="spellStart"/>
      <w:r w:rsidRPr="00131455">
        <w:rPr>
          <w:rFonts w:ascii="Cambria" w:hAnsi="Cambria"/>
          <w:i/>
        </w:rPr>
        <w:t>app</w:t>
      </w:r>
      <w:proofErr w:type="spellEnd"/>
      <w:r w:rsidRPr="00131455">
        <w:rPr>
          <w:rFonts w:ascii="Cambria" w:hAnsi="Cambria"/>
          <w:i/>
        </w:rPr>
        <w:t xml:space="preserve"> con il cellulare carico e la presenza fisica in luogo vicino quanto più possibile ai locali partner  di parte datoriale, realizzando così una condotta tipica della subordinazione”.</w:t>
      </w:r>
    </w:p>
    <w:p w14:paraId="4CB05BB4" w14:textId="77777777" w:rsidR="00252AF6" w:rsidRDefault="00252AF6" w:rsidP="000E575A">
      <w:pPr>
        <w:spacing w:line="276" w:lineRule="auto"/>
        <w:jc w:val="both"/>
        <w:outlineLvl w:val="0"/>
        <w:rPr>
          <w:rFonts w:ascii="Cambria" w:hAnsi="Cambria"/>
          <w:i/>
        </w:rPr>
      </w:pPr>
    </w:p>
    <w:p w14:paraId="24BAE3BB" w14:textId="4D91835A" w:rsidR="00252AF6" w:rsidRDefault="00252AF6" w:rsidP="000E575A">
      <w:pPr>
        <w:spacing w:line="276" w:lineRule="auto"/>
        <w:jc w:val="both"/>
        <w:outlineLvl w:val="0"/>
        <w:rPr>
          <w:rFonts w:ascii="Cambria" w:hAnsi="Cambria"/>
        </w:rPr>
      </w:pPr>
      <w:r>
        <w:rPr>
          <w:rFonts w:ascii="Cambria" w:hAnsi="Cambria"/>
        </w:rPr>
        <w:t>Da quanto esposto il Tribunale di Palermo deduce che, “</w:t>
      </w:r>
      <w:r w:rsidRPr="00252AF6">
        <w:rPr>
          <w:rFonts w:ascii="Cambria" w:hAnsi="Cambria"/>
          <w:i/>
        </w:rPr>
        <w:t>in sostanza, al di là dell’apparente e dichiarata (in contratto) libertà del rider, e del ricorrente in particolare, di scegliere i tempi di lavoro e se rendere o meno la prestazione, l’organizzazione del lavoro operata in modo esclusivo dalla parte convenuta sulla piattaforma digitale nella propria disponibilità si traduce, oltre che nell’integrazione del presupposto della etero organizzazione, anche nella messa a disposizione del datore di lavoro da parte del lavoratore  delle proprie energie lavorative per consistenti periodi temporali (peraltro non retribuiti) e nell’esercizio da parte della convenuta di poteri di direzione e controllo, oltre che di natura latamente disciplinare, che costituiscono elementi costitutivi della fattispecie del lavoro subordinato ex articolo 2094 c.c</w:t>
      </w:r>
      <w:r>
        <w:rPr>
          <w:rFonts w:ascii="Cambria" w:hAnsi="Cambria"/>
        </w:rPr>
        <w:t>.”</w:t>
      </w:r>
    </w:p>
    <w:p w14:paraId="5E4DFF3F" w14:textId="77777777" w:rsidR="007B13F2" w:rsidRDefault="007B13F2" w:rsidP="000E575A">
      <w:pPr>
        <w:spacing w:line="276" w:lineRule="auto"/>
        <w:jc w:val="both"/>
        <w:outlineLvl w:val="0"/>
        <w:rPr>
          <w:rFonts w:ascii="Cambria" w:hAnsi="Cambria"/>
        </w:rPr>
      </w:pPr>
    </w:p>
    <w:p w14:paraId="5CC8596A" w14:textId="23011988" w:rsidR="000E575A" w:rsidRDefault="007B13F2" w:rsidP="000E575A">
      <w:pPr>
        <w:spacing w:line="276" w:lineRule="auto"/>
        <w:jc w:val="both"/>
        <w:outlineLvl w:val="0"/>
        <w:rPr>
          <w:rFonts w:ascii="Cambria" w:hAnsi="Cambria"/>
        </w:rPr>
      </w:pPr>
      <w:r>
        <w:rPr>
          <w:rFonts w:ascii="Cambria" w:hAnsi="Cambria"/>
        </w:rPr>
        <w:t>La sentenza si pronuncia infin</w:t>
      </w:r>
      <w:r w:rsidR="002B5805">
        <w:rPr>
          <w:rFonts w:ascii="Cambria" w:hAnsi="Cambria"/>
        </w:rPr>
        <w:t>e sulla risoluzione del contratto</w:t>
      </w:r>
      <w:r>
        <w:rPr>
          <w:rFonts w:ascii="Cambria" w:hAnsi="Cambria"/>
        </w:rPr>
        <w:t xml:space="preserve"> operata tramite</w:t>
      </w:r>
      <w:r w:rsidR="00FC55C2">
        <w:rPr>
          <w:rFonts w:ascii="Cambria" w:hAnsi="Cambria"/>
        </w:rPr>
        <w:t xml:space="preserve"> la disconnessione dell’account</w:t>
      </w:r>
      <w:r>
        <w:rPr>
          <w:rFonts w:ascii="Cambria" w:hAnsi="Cambria"/>
        </w:rPr>
        <w:t>, qualificandola come licenziamento</w:t>
      </w:r>
      <w:r w:rsidR="003E3DE1">
        <w:rPr>
          <w:rFonts w:ascii="Cambria" w:hAnsi="Cambria"/>
        </w:rPr>
        <w:t xml:space="preserve">. </w:t>
      </w:r>
    </w:p>
    <w:p w14:paraId="74080E70" w14:textId="561F6363" w:rsidR="000E575A" w:rsidRDefault="00FC55C2" w:rsidP="000E575A">
      <w:pPr>
        <w:spacing w:line="276" w:lineRule="auto"/>
        <w:jc w:val="both"/>
        <w:outlineLvl w:val="0"/>
        <w:rPr>
          <w:rFonts w:ascii="Cambria" w:hAnsi="Cambria"/>
        </w:rPr>
      </w:pPr>
      <w:r>
        <w:rPr>
          <w:rFonts w:ascii="Cambria" w:hAnsi="Cambria"/>
        </w:rPr>
        <w:t xml:space="preserve">Pur considerando tale licenziamento </w:t>
      </w:r>
      <w:r w:rsidR="007B13F2">
        <w:rPr>
          <w:rFonts w:ascii="Cambria" w:hAnsi="Cambria"/>
        </w:rPr>
        <w:t>fondato su un motivo d</w:t>
      </w:r>
      <w:r w:rsidR="002B5805">
        <w:rPr>
          <w:rFonts w:ascii="Cambria" w:hAnsi="Cambria"/>
        </w:rPr>
        <w:t xml:space="preserve">i ritorsione nei </w:t>
      </w:r>
      <w:proofErr w:type="gramStart"/>
      <w:r w:rsidR="002B5805">
        <w:rPr>
          <w:rFonts w:ascii="Cambria" w:hAnsi="Cambria"/>
        </w:rPr>
        <w:t>confronti  delle</w:t>
      </w:r>
      <w:proofErr w:type="gramEnd"/>
      <w:r w:rsidR="007B13F2">
        <w:rPr>
          <w:rFonts w:ascii="Cambria" w:hAnsi="Cambria"/>
        </w:rPr>
        <w:t xml:space="preserve"> rivendicazioni di natura sindacale </w:t>
      </w:r>
      <w:r w:rsidR="003E3DE1">
        <w:rPr>
          <w:rFonts w:ascii="Cambria" w:hAnsi="Cambria"/>
        </w:rPr>
        <w:t>portate avanti da</w:t>
      </w:r>
      <w:r w:rsidR="007B13F2">
        <w:rPr>
          <w:rFonts w:ascii="Cambria" w:hAnsi="Cambria"/>
        </w:rPr>
        <w:t>l rider</w:t>
      </w:r>
      <w:r>
        <w:rPr>
          <w:rFonts w:ascii="Cambria" w:hAnsi="Cambria"/>
        </w:rPr>
        <w:t>, poiché</w:t>
      </w:r>
      <w:r w:rsidR="003D0D83">
        <w:rPr>
          <w:rFonts w:ascii="Cambria" w:hAnsi="Cambria"/>
        </w:rPr>
        <w:t xml:space="preserve"> </w:t>
      </w:r>
      <w:r>
        <w:rPr>
          <w:rFonts w:ascii="Cambria" w:hAnsi="Cambria"/>
        </w:rPr>
        <w:t>è stato comunicato</w:t>
      </w:r>
      <w:r w:rsidR="003E3DE1">
        <w:rPr>
          <w:rFonts w:ascii="Cambria" w:hAnsi="Cambria"/>
        </w:rPr>
        <w:t xml:space="preserve"> in forma orale</w:t>
      </w:r>
      <w:r w:rsidR="000E575A">
        <w:rPr>
          <w:rFonts w:ascii="Cambria" w:hAnsi="Cambria"/>
        </w:rPr>
        <w:t xml:space="preserve">, </w:t>
      </w:r>
      <w:r w:rsidR="003D0D83">
        <w:rPr>
          <w:rFonts w:ascii="Cambria" w:hAnsi="Cambria"/>
        </w:rPr>
        <w:t xml:space="preserve">il Tribunale </w:t>
      </w:r>
      <w:r>
        <w:rPr>
          <w:rFonts w:ascii="Cambria" w:hAnsi="Cambria"/>
        </w:rPr>
        <w:t>lo ha dichiarato</w:t>
      </w:r>
      <w:r w:rsidR="000E575A">
        <w:rPr>
          <w:rFonts w:ascii="Cambria" w:hAnsi="Cambria"/>
        </w:rPr>
        <w:t xml:space="preserve"> inefficace, ordinando la</w:t>
      </w:r>
      <w:r>
        <w:rPr>
          <w:rFonts w:ascii="Cambria" w:hAnsi="Cambria"/>
        </w:rPr>
        <w:t xml:space="preserve"> sua</w:t>
      </w:r>
      <w:r w:rsidR="000E575A">
        <w:rPr>
          <w:rFonts w:ascii="Cambria" w:hAnsi="Cambria"/>
        </w:rPr>
        <w:t xml:space="preserve"> reintegrazione nel posto di lavoro con inquadramento nel VI livello del CCNL </w:t>
      </w:r>
      <w:r w:rsidR="003D0D83">
        <w:rPr>
          <w:rFonts w:ascii="Cambria" w:hAnsi="Cambria"/>
        </w:rPr>
        <w:t>Terziario Distribuzione Servizi, applicato in azienda ai lavoratori dipendenti che svolgono diverse mansioni.</w:t>
      </w:r>
    </w:p>
    <w:p w14:paraId="741EC902" w14:textId="5C124856" w:rsidR="000E575A" w:rsidRDefault="000E575A" w:rsidP="000E575A">
      <w:pPr>
        <w:spacing w:line="276" w:lineRule="auto"/>
        <w:jc w:val="both"/>
        <w:outlineLvl w:val="0"/>
        <w:rPr>
          <w:rFonts w:ascii="Cambria" w:hAnsi="Cambria"/>
        </w:rPr>
      </w:pPr>
      <w:r>
        <w:rPr>
          <w:rFonts w:ascii="Cambria" w:hAnsi="Cambria"/>
        </w:rPr>
        <w:t>Bologna, 2 dicembre 2020</w:t>
      </w:r>
    </w:p>
    <w:p w14:paraId="446DF9C3" w14:textId="77777777" w:rsidR="000E575A" w:rsidRDefault="000E575A" w:rsidP="000E575A">
      <w:pPr>
        <w:spacing w:line="276" w:lineRule="auto"/>
        <w:jc w:val="both"/>
        <w:outlineLvl w:val="0"/>
        <w:rPr>
          <w:rFonts w:ascii="Cambria" w:hAnsi="Cambria"/>
        </w:rPr>
      </w:pPr>
    </w:p>
    <w:p w14:paraId="689093D2" w14:textId="4FEAB619" w:rsidR="00F17FF0" w:rsidRPr="00877E22" w:rsidRDefault="000E575A" w:rsidP="003D0D83">
      <w:pPr>
        <w:spacing w:line="276" w:lineRule="auto"/>
        <w:jc w:val="both"/>
        <w:outlineLvl w:val="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Alberto Piccinini</w:t>
      </w:r>
    </w:p>
    <w:sectPr w:rsidR="00F17FF0" w:rsidRPr="00877E22" w:rsidSect="00E02354">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6EA1" w14:textId="77777777" w:rsidR="00B1205E" w:rsidRDefault="00B1205E" w:rsidP="006F7963">
      <w:r>
        <w:separator/>
      </w:r>
    </w:p>
  </w:endnote>
  <w:endnote w:type="continuationSeparator" w:id="0">
    <w:p w14:paraId="03F6EF45" w14:textId="77777777" w:rsidR="00B1205E" w:rsidRDefault="00B1205E" w:rsidP="006F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4C59E" w14:textId="77777777" w:rsidR="00D94456" w:rsidRDefault="00D94456" w:rsidP="009079BA">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9101866" w14:textId="77777777" w:rsidR="00D94456" w:rsidRDefault="00D9445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E707D" w14:textId="77777777" w:rsidR="00D94456" w:rsidRDefault="00D94456" w:rsidP="009079BA">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B40DD">
      <w:rPr>
        <w:rStyle w:val="Numeropagina"/>
        <w:noProof/>
      </w:rPr>
      <w:t>3</w:t>
    </w:r>
    <w:r>
      <w:rPr>
        <w:rStyle w:val="Numeropagina"/>
      </w:rPr>
      <w:fldChar w:fldCharType="end"/>
    </w:r>
  </w:p>
  <w:p w14:paraId="687D02B9" w14:textId="77777777" w:rsidR="00D94456" w:rsidRDefault="00D944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1EE5" w14:textId="77777777" w:rsidR="00B1205E" w:rsidRDefault="00B1205E" w:rsidP="006F7963">
      <w:r>
        <w:separator/>
      </w:r>
    </w:p>
  </w:footnote>
  <w:footnote w:type="continuationSeparator" w:id="0">
    <w:p w14:paraId="699167AD" w14:textId="77777777" w:rsidR="00B1205E" w:rsidRDefault="00B1205E" w:rsidP="006F7963">
      <w:r>
        <w:continuationSeparator/>
      </w:r>
    </w:p>
  </w:footnote>
  <w:footnote w:id="1">
    <w:p w14:paraId="763AE6F4" w14:textId="02A0B92F" w:rsidR="006F7963" w:rsidRPr="003D0D83" w:rsidRDefault="006F7963" w:rsidP="00877E22">
      <w:pPr>
        <w:pStyle w:val="Testonotaapidipagina"/>
        <w:jc w:val="both"/>
        <w:rPr>
          <w:rFonts w:ascii="Cambria" w:hAnsi="Cambria"/>
          <w:color w:val="000000" w:themeColor="text1"/>
          <w:sz w:val="20"/>
          <w:szCs w:val="20"/>
        </w:rPr>
      </w:pPr>
      <w:r w:rsidRPr="00877E22">
        <w:rPr>
          <w:rStyle w:val="Rimandonotaapidipagina"/>
          <w:rFonts w:ascii="Cambria" w:hAnsi="Cambria"/>
          <w:sz w:val="20"/>
          <w:szCs w:val="20"/>
        </w:rPr>
        <w:footnoteRef/>
      </w:r>
      <w:r w:rsidRPr="00877E22">
        <w:rPr>
          <w:rFonts w:ascii="Cambria" w:hAnsi="Cambria"/>
          <w:sz w:val="20"/>
          <w:szCs w:val="20"/>
        </w:rPr>
        <w:t xml:space="preserve"> </w:t>
      </w:r>
      <w:r w:rsidR="00877E22" w:rsidRPr="00877E22">
        <w:rPr>
          <w:rFonts w:ascii="Cambria" w:hAnsi="Cambria"/>
          <w:sz w:val="20"/>
          <w:szCs w:val="20"/>
        </w:rPr>
        <w:t xml:space="preserve">Dalle dichiarazioni rese </w:t>
      </w:r>
      <w:r w:rsidR="00877E22" w:rsidRPr="003D0D83">
        <w:rPr>
          <w:rFonts w:ascii="Cambria" w:hAnsi="Cambria"/>
          <w:color w:val="000000" w:themeColor="text1"/>
          <w:sz w:val="20"/>
          <w:szCs w:val="20"/>
        </w:rPr>
        <w:t xml:space="preserve">alla stampa sembra che Just </w:t>
      </w:r>
      <w:proofErr w:type="spellStart"/>
      <w:r w:rsidR="00877E22" w:rsidRPr="003D0D83">
        <w:rPr>
          <w:rFonts w:ascii="Cambria" w:hAnsi="Cambria"/>
          <w:color w:val="000000" w:themeColor="text1"/>
          <w:sz w:val="20"/>
          <w:szCs w:val="20"/>
        </w:rPr>
        <w:t>Eat</w:t>
      </w:r>
      <w:proofErr w:type="spellEnd"/>
      <w:r w:rsidR="00877E22" w:rsidRPr="003D0D83">
        <w:rPr>
          <w:rFonts w:ascii="Cambria" w:hAnsi="Cambria"/>
          <w:color w:val="000000" w:themeColor="text1"/>
          <w:sz w:val="20"/>
          <w:szCs w:val="20"/>
        </w:rPr>
        <w:t xml:space="preserve"> intenda inquadrare, a partire dal 2021, tutti i suoi collaboratori come lavoratori subordinati</w:t>
      </w:r>
      <w:r w:rsidR="00884440" w:rsidRPr="003D0D83">
        <w:rPr>
          <w:rFonts w:ascii="Cambria" w:hAnsi="Cambria"/>
          <w:color w:val="000000" w:themeColor="text1"/>
          <w:sz w:val="20"/>
          <w:szCs w:val="20"/>
        </w:rPr>
        <w:t>.</w:t>
      </w:r>
      <w:r w:rsidR="00877E22" w:rsidRPr="003D0D83">
        <w:rPr>
          <w:rFonts w:ascii="Cambria" w:hAnsi="Cambria"/>
          <w:color w:val="000000" w:themeColor="text1"/>
          <w:sz w:val="20"/>
          <w:szCs w:val="20"/>
        </w:rPr>
        <w:t xml:space="preserve"> </w:t>
      </w:r>
      <w:r w:rsidR="00A153A2" w:rsidRPr="003D0D83">
        <w:rPr>
          <w:rFonts w:ascii="Cambria" w:hAnsi="Cambria"/>
          <w:color w:val="000000" w:themeColor="text1"/>
          <w:sz w:val="20"/>
          <w:szCs w:val="20"/>
        </w:rPr>
        <w:t xml:space="preserve">Inoltre, a quanto risulta, la piattaforma </w:t>
      </w:r>
      <w:proofErr w:type="spellStart"/>
      <w:r w:rsidR="00A153A2" w:rsidRPr="003D0D83">
        <w:rPr>
          <w:rFonts w:ascii="Cambria" w:hAnsi="Cambria"/>
          <w:color w:val="000000" w:themeColor="text1"/>
          <w:sz w:val="20"/>
          <w:szCs w:val="20"/>
        </w:rPr>
        <w:t>Mymenu</w:t>
      </w:r>
      <w:proofErr w:type="spellEnd"/>
      <w:r w:rsidR="00A153A2" w:rsidRPr="003D0D83">
        <w:rPr>
          <w:rFonts w:ascii="Cambria" w:hAnsi="Cambria"/>
          <w:color w:val="000000" w:themeColor="text1"/>
          <w:sz w:val="20"/>
          <w:szCs w:val="20"/>
        </w:rPr>
        <w:t xml:space="preserve">, aderente alla Carta dei diritti del lavoro digitale di Bologna, ha già assunto alcuni </w:t>
      </w:r>
      <w:proofErr w:type="spellStart"/>
      <w:r w:rsidR="00A153A2" w:rsidRPr="003D0D83">
        <w:rPr>
          <w:rFonts w:ascii="Cambria" w:hAnsi="Cambria"/>
          <w:color w:val="000000" w:themeColor="text1"/>
          <w:sz w:val="20"/>
          <w:szCs w:val="20"/>
        </w:rPr>
        <w:t>riders</w:t>
      </w:r>
      <w:proofErr w:type="spellEnd"/>
      <w:r w:rsidR="00A153A2" w:rsidRPr="003D0D83">
        <w:rPr>
          <w:rFonts w:ascii="Cambria" w:hAnsi="Cambria"/>
          <w:color w:val="000000" w:themeColor="text1"/>
          <w:sz w:val="20"/>
          <w:szCs w:val="20"/>
        </w:rPr>
        <w:t xml:space="preserve"> con contratto di lavoro subordinato. </w:t>
      </w:r>
    </w:p>
  </w:footnote>
  <w:footnote w:id="2">
    <w:p w14:paraId="05BFF070" w14:textId="1928825A" w:rsidR="00F813D7" w:rsidRPr="00884440" w:rsidRDefault="00F813D7" w:rsidP="00884440">
      <w:pPr>
        <w:pStyle w:val="Testonotaapidipagina"/>
        <w:jc w:val="both"/>
        <w:rPr>
          <w:rFonts w:ascii="Cambria" w:hAnsi="Cambria"/>
          <w:sz w:val="20"/>
          <w:szCs w:val="20"/>
        </w:rPr>
      </w:pPr>
      <w:r w:rsidRPr="003D0D83">
        <w:rPr>
          <w:rStyle w:val="Rimandonotaapidipagina"/>
          <w:rFonts w:ascii="Cambria" w:hAnsi="Cambria"/>
          <w:color w:val="000000" w:themeColor="text1"/>
          <w:sz w:val="20"/>
          <w:szCs w:val="20"/>
        </w:rPr>
        <w:footnoteRef/>
      </w:r>
      <w:r w:rsidR="00884440" w:rsidRPr="003D0D83">
        <w:rPr>
          <w:rFonts w:ascii="Cambria" w:hAnsi="Cambria"/>
          <w:color w:val="000000" w:themeColor="text1"/>
          <w:sz w:val="20"/>
          <w:szCs w:val="20"/>
        </w:rPr>
        <w:t xml:space="preserve"> L</w:t>
      </w:r>
      <w:r w:rsidRPr="003D0D83">
        <w:rPr>
          <w:rFonts w:ascii="Cambria" w:hAnsi="Cambria"/>
          <w:color w:val="000000" w:themeColor="text1"/>
          <w:sz w:val="20"/>
          <w:szCs w:val="20"/>
        </w:rPr>
        <w:t>ibertà di dare o meno la disponibilità</w:t>
      </w:r>
      <w:r w:rsidR="00884440" w:rsidRPr="003D0D83">
        <w:rPr>
          <w:rFonts w:ascii="Cambria" w:hAnsi="Cambria"/>
          <w:color w:val="000000" w:themeColor="text1"/>
          <w:sz w:val="20"/>
          <w:szCs w:val="20"/>
        </w:rPr>
        <w:t xml:space="preserve"> </w:t>
      </w:r>
      <w:r w:rsidR="00884440" w:rsidRPr="00884440">
        <w:rPr>
          <w:rFonts w:ascii="Cambria" w:hAnsi="Cambria"/>
          <w:sz w:val="20"/>
          <w:szCs w:val="20"/>
        </w:rPr>
        <w:t>per i diversi turni</w:t>
      </w:r>
      <w:r w:rsidRPr="00884440">
        <w:rPr>
          <w:rFonts w:ascii="Cambria" w:hAnsi="Cambria"/>
          <w:sz w:val="20"/>
          <w:szCs w:val="20"/>
        </w:rPr>
        <w:t xml:space="preserve">, e di revocarla (funzione </w:t>
      </w:r>
      <w:r w:rsidRPr="00884440">
        <w:rPr>
          <w:rFonts w:ascii="Cambria" w:hAnsi="Cambria"/>
          <w:i/>
          <w:sz w:val="20"/>
          <w:szCs w:val="20"/>
        </w:rPr>
        <w:t>swap)</w:t>
      </w:r>
      <w:r w:rsidR="00884440">
        <w:rPr>
          <w:rFonts w:ascii="Cambria" w:hAnsi="Cambria"/>
          <w:sz w:val="20"/>
          <w:szCs w:val="20"/>
        </w:rPr>
        <w:t xml:space="preserve">; </w:t>
      </w:r>
      <w:proofErr w:type="gramStart"/>
      <w:r w:rsidR="00884440">
        <w:rPr>
          <w:rFonts w:ascii="Cambria" w:hAnsi="Cambria"/>
          <w:sz w:val="20"/>
          <w:szCs w:val="20"/>
        </w:rPr>
        <w:t xml:space="preserve">libertà </w:t>
      </w:r>
      <w:r w:rsidR="00884440" w:rsidRPr="00884440">
        <w:rPr>
          <w:rFonts w:ascii="Cambria" w:hAnsi="Cambria"/>
          <w:sz w:val="20"/>
          <w:szCs w:val="20"/>
        </w:rPr>
        <w:t xml:space="preserve"> di</w:t>
      </w:r>
      <w:proofErr w:type="gramEnd"/>
      <w:r w:rsidR="00884440" w:rsidRPr="00884440">
        <w:rPr>
          <w:rFonts w:ascii="Cambria" w:hAnsi="Cambria"/>
          <w:sz w:val="20"/>
          <w:szCs w:val="20"/>
        </w:rPr>
        <w:t xml:space="preserve"> astenersi dalla prestazione (funzione </w:t>
      </w:r>
      <w:r w:rsidR="00884440" w:rsidRPr="00884440">
        <w:rPr>
          <w:rFonts w:ascii="Cambria" w:hAnsi="Cambria"/>
          <w:i/>
          <w:sz w:val="20"/>
          <w:szCs w:val="20"/>
        </w:rPr>
        <w:t>no show</w:t>
      </w:r>
      <w:r w:rsidR="00884440" w:rsidRPr="00884440">
        <w:rPr>
          <w:rFonts w:ascii="Cambria" w:hAnsi="Cambria"/>
          <w:sz w:val="20"/>
          <w:szCs w:val="20"/>
        </w:rPr>
        <w:t xml:space="preserve">) </w:t>
      </w:r>
    </w:p>
  </w:footnote>
  <w:footnote w:id="3">
    <w:p w14:paraId="363BF9BF" w14:textId="7F9DF3CE" w:rsidR="00B32757" w:rsidRPr="00B32757" w:rsidRDefault="00B32757" w:rsidP="00B32757">
      <w:pPr>
        <w:pStyle w:val="Testonotaapidipagina"/>
        <w:jc w:val="both"/>
        <w:rPr>
          <w:rFonts w:ascii="Cambria" w:hAnsi="Cambria"/>
          <w:sz w:val="20"/>
          <w:szCs w:val="20"/>
        </w:rPr>
      </w:pPr>
      <w:r w:rsidRPr="00B32757">
        <w:rPr>
          <w:rStyle w:val="Rimandonotaapidipagina"/>
          <w:rFonts w:ascii="Cambria" w:hAnsi="Cambria"/>
          <w:sz w:val="20"/>
          <w:szCs w:val="20"/>
        </w:rPr>
        <w:footnoteRef/>
      </w:r>
      <w:r w:rsidRPr="00B32757">
        <w:rPr>
          <w:rFonts w:ascii="Cambria" w:hAnsi="Cambria"/>
          <w:sz w:val="20"/>
          <w:szCs w:val="20"/>
        </w:rPr>
        <w:t xml:space="preserve"> Il punteggio dei rider aumenta</w:t>
      </w:r>
      <w:r w:rsidR="00F32503">
        <w:rPr>
          <w:rFonts w:ascii="Cambria" w:hAnsi="Cambria"/>
          <w:sz w:val="20"/>
          <w:szCs w:val="20"/>
        </w:rPr>
        <w:t>, con</w:t>
      </w:r>
      <w:r w:rsidRPr="00B32757">
        <w:rPr>
          <w:rFonts w:ascii="Cambria" w:hAnsi="Cambria"/>
          <w:sz w:val="20"/>
          <w:szCs w:val="20"/>
        </w:rPr>
        <w:t xml:space="preserve"> GLOVO</w:t>
      </w:r>
      <w:r w:rsidR="00F32503">
        <w:rPr>
          <w:rFonts w:ascii="Cambria" w:hAnsi="Cambria"/>
          <w:sz w:val="20"/>
          <w:szCs w:val="20"/>
        </w:rPr>
        <w:t>,</w:t>
      </w:r>
      <w:r w:rsidRPr="00B32757">
        <w:rPr>
          <w:rFonts w:ascii="Cambria" w:hAnsi="Cambria"/>
          <w:sz w:val="20"/>
          <w:szCs w:val="20"/>
        </w:rPr>
        <w:t xml:space="preserve"> </w:t>
      </w:r>
      <w:r>
        <w:rPr>
          <w:rFonts w:ascii="Cambria" w:hAnsi="Cambria"/>
          <w:sz w:val="20"/>
          <w:szCs w:val="20"/>
        </w:rPr>
        <w:t>in relazione allo svolgimento di attività in cd. “</w:t>
      </w:r>
      <w:proofErr w:type="gramStart"/>
      <w:r>
        <w:rPr>
          <w:rFonts w:ascii="Cambria" w:hAnsi="Cambria"/>
          <w:sz w:val="20"/>
          <w:szCs w:val="20"/>
        </w:rPr>
        <w:t>alta</w:t>
      </w:r>
      <w:proofErr w:type="gramEnd"/>
      <w:r>
        <w:rPr>
          <w:rFonts w:ascii="Cambria" w:hAnsi="Cambria"/>
          <w:sz w:val="20"/>
          <w:szCs w:val="20"/>
        </w:rPr>
        <w:t xml:space="preserve"> domanda” (35%); all’efficienza del lavoratore (35%); al feedback dell’utente (15%); all’esperienza del lavoratore (10%); al feedback dei partner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B581B"/>
    <w:multiLevelType w:val="hybridMultilevel"/>
    <w:tmpl w:val="67A21350"/>
    <w:lvl w:ilvl="0" w:tplc="518A8C2E">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61"/>
    <w:rsid w:val="00011FBA"/>
    <w:rsid w:val="000D6332"/>
    <w:rsid w:val="000E575A"/>
    <w:rsid w:val="000F5E08"/>
    <w:rsid w:val="00131455"/>
    <w:rsid w:val="001A4865"/>
    <w:rsid w:val="001B4760"/>
    <w:rsid w:val="001F6B0B"/>
    <w:rsid w:val="002120FC"/>
    <w:rsid w:val="0023334D"/>
    <w:rsid w:val="00252AF6"/>
    <w:rsid w:val="002B3401"/>
    <w:rsid w:val="002B5805"/>
    <w:rsid w:val="002D0BE6"/>
    <w:rsid w:val="00352EB0"/>
    <w:rsid w:val="003A2BBA"/>
    <w:rsid w:val="003A62A9"/>
    <w:rsid w:val="003A744B"/>
    <w:rsid w:val="003B6141"/>
    <w:rsid w:val="003D0D83"/>
    <w:rsid w:val="003E3DE1"/>
    <w:rsid w:val="003F35F4"/>
    <w:rsid w:val="0042739A"/>
    <w:rsid w:val="00431D68"/>
    <w:rsid w:val="00456CE5"/>
    <w:rsid w:val="004A0C9A"/>
    <w:rsid w:val="004F4A08"/>
    <w:rsid w:val="00595A02"/>
    <w:rsid w:val="005F3E3C"/>
    <w:rsid w:val="00657FCF"/>
    <w:rsid w:val="00675737"/>
    <w:rsid w:val="00694591"/>
    <w:rsid w:val="006F7963"/>
    <w:rsid w:val="00735F75"/>
    <w:rsid w:val="007B13F2"/>
    <w:rsid w:val="007E601C"/>
    <w:rsid w:val="007F2EAD"/>
    <w:rsid w:val="00801048"/>
    <w:rsid w:val="00803C9C"/>
    <w:rsid w:val="0081009B"/>
    <w:rsid w:val="008219DA"/>
    <w:rsid w:val="00833859"/>
    <w:rsid w:val="00852700"/>
    <w:rsid w:val="00877E22"/>
    <w:rsid w:val="00884440"/>
    <w:rsid w:val="008861E3"/>
    <w:rsid w:val="00887D61"/>
    <w:rsid w:val="008A3E0B"/>
    <w:rsid w:val="008D4004"/>
    <w:rsid w:val="008E6FCA"/>
    <w:rsid w:val="0091210C"/>
    <w:rsid w:val="009265E7"/>
    <w:rsid w:val="00944ED0"/>
    <w:rsid w:val="00991DD3"/>
    <w:rsid w:val="009C27F3"/>
    <w:rsid w:val="009E14C5"/>
    <w:rsid w:val="009F0AD5"/>
    <w:rsid w:val="009F4F29"/>
    <w:rsid w:val="00A153A2"/>
    <w:rsid w:val="00A169BC"/>
    <w:rsid w:val="00A22409"/>
    <w:rsid w:val="00A243E9"/>
    <w:rsid w:val="00A71C5F"/>
    <w:rsid w:val="00AE335C"/>
    <w:rsid w:val="00AF3E38"/>
    <w:rsid w:val="00B1205E"/>
    <w:rsid w:val="00B2757F"/>
    <w:rsid w:val="00B32757"/>
    <w:rsid w:val="00B45D0D"/>
    <w:rsid w:val="00B5074A"/>
    <w:rsid w:val="00C1742E"/>
    <w:rsid w:val="00C34F88"/>
    <w:rsid w:val="00C80E38"/>
    <w:rsid w:val="00CE449F"/>
    <w:rsid w:val="00CE778D"/>
    <w:rsid w:val="00D07353"/>
    <w:rsid w:val="00D0792A"/>
    <w:rsid w:val="00D3410C"/>
    <w:rsid w:val="00D37CB9"/>
    <w:rsid w:val="00D54104"/>
    <w:rsid w:val="00D919E2"/>
    <w:rsid w:val="00D92CE2"/>
    <w:rsid w:val="00D94456"/>
    <w:rsid w:val="00E02354"/>
    <w:rsid w:val="00E146A2"/>
    <w:rsid w:val="00E15FD4"/>
    <w:rsid w:val="00F17FF0"/>
    <w:rsid w:val="00F32503"/>
    <w:rsid w:val="00F47042"/>
    <w:rsid w:val="00F813D7"/>
    <w:rsid w:val="00FB40DD"/>
    <w:rsid w:val="00FC55C2"/>
    <w:rsid w:val="00FE0186"/>
    <w:rsid w:val="00FE3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1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F7963"/>
  </w:style>
  <w:style w:type="character" w:customStyle="1" w:styleId="TestonotaapidipaginaCarattere">
    <w:name w:val="Testo nota a piè di pagina Carattere"/>
    <w:basedOn w:val="Carpredefinitoparagrafo"/>
    <w:link w:val="Testonotaapidipagina"/>
    <w:uiPriority w:val="99"/>
    <w:rsid w:val="006F7963"/>
  </w:style>
  <w:style w:type="character" w:styleId="Rimandonotaapidipagina">
    <w:name w:val="footnote reference"/>
    <w:basedOn w:val="Carpredefinitoparagrafo"/>
    <w:uiPriority w:val="99"/>
    <w:unhideWhenUsed/>
    <w:rsid w:val="006F7963"/>
    <w:rPr>
      <w:vertAlign w:val="superscript"/>
    </w:rPr>
  </w:style>
  <w:style w:type="paragraph" w:styleId="NormaleWeb">
    <w:name w:val="Normal (Web)"/>
    <w:basedOn w:val="Normale"/>
    <w:uiPriority w:val="99"/>
    <w:rsid w:val="00877E22"/>
    <w:pPr>
      <w:spacing w:before="100" w:beforeAutospacing="1" w:after="100" w:afterAutospacing="1"/>
    </w:pPr>
    <w:rPr>
      <w:rFonts w:ascii="Times New Roman" w:eastAsia="Times New Roman" w:hAnsi="Times New Roman" w:cs="Times New Roman"/>
      <w:lang w:eastAsia="it-IT"/>
    </w:rPr>
  </w:style>
  <w:style w:type="paragraph" w:styleId="Testodelblocco">
    <w:name w:val="Block Text"/>
    <w:basedOn w:val="Normale"/>
    <w:rsid w:val="00877E22"/>
    <w:pPr>
      <w:tabs>
        <w:tab w:val="left" w:pos="8505"/>
      </w:tabs>
      <w:spacing w:after="120"/>
      <w:ind w:left="709" w:right="-590"/>
      <w:jc w:val="both"/>
    </w:pPr>
    <w:rPr>
      <w:rFonts w:ascii="Times New Roman" w:eastAsia="Times New Roman" w:hAnsi="Times New Roman" w:cs="Times New Roman"/>
      <w:szCs w:val="20"/>
      <w:lang w:eastAsia="it-IT"/>
    </w:rPr>
  </w:style>
  <w:style w:type="character" w:customStyle="1" w:styleId="Nessuno">
    <w:name w:val="Nessuno"/>
    <w:rsid w:val="00877E22"/>
    <w:rPr>
      <w:lang w:val="it-IT"/>
    </w:rPr>
  </w:style>
  <w:style w:type="paragraph" w:styleId="Paragrafoelenco">
    <w:name w:val="List Paragraph"/>
    <w:basedOn w:val="Normale"/>
    <w:uiPriority w:val="34"/>
    <w:qFormat/>
    <w:rsid w:val="00011FBA"/>
    <w:pPr>
      <w:ind w:left="720"/>
      <w:contextualSpacing/>
    </w:pPr>
  </w:style>
  <w:style w:type="paragraph" w:styleId="Mappadocumento">
    <w:name w:val="Document Map"/>
    <w:basedOn w:val="Normale"/>
    <w:link w:val="MappadocumentoCarattere"/>
    <w:uiPriority w:val="99"/>
    <w:semiHidden/>
    <w:unhideWhenUsed/>
    <w:rsid w:val="009F4F29"/>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9F4F29"/>
    <w:rPr>
      <w:rFonts w:ascii="Times New Roman" w:hAnsi="Times New Roman" w:cs="Times New Roman"/>
    </w:rPr>
  </w:style>
  <w:style w:type="paragraph" w:styleId="Pidipagina">
    <w:name w:val="footer"/>
    <w:basedOn w:val="Normale"/>
    <w:link w:val="PidipaginaCarattere"/>
    <w:uiPriority w:val="99"/>
    <w:unhideWhenUsed/>
    <w:rsid w:val="00D94456"/>
    <w:pPr>
      <w:tabs>
        <w:tab w:val="center" w:pos="4819"/>
        <w:tab w:val="right" w:pos="9638"/>
      </w:tabs>
    </w:pPr>
  </w:style>
  <w:style w:type="character" w:customStyle="1" w:styleId="PidipaginaCarattere">
    <w:name w:val="Piè di pagina Carattere"/>
    <w:basedOn w:val="Carpredefinitoparagrafo"/>
    <w:link w:val="Pidipagina"/>
    <w:uiPriority w:val="99"/>
    <w:rsid w:val="00D94456"/>
  </w:style>
  <w:style w:type="character" w:styleId="Numeropagina">
    <w:name w:val="page number"/>
    <w:basedOn w:val="Carpredefinitoparagrafo"/>
    <w:uiPriority w:val="99"/>
    <w:semiHidden/>
    <w:unhideWhenUsed/>
    <w:rsid w:val="00D9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598C26-FD4D-4558-B1E0-FC5C04BE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2000</Words>
  <Characters>11402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Piccinini - giovanni.piccinini2@studio.unibo.it</dc:creator>
  <cp:keywords/>
  <dc:description/>
  <cp:lastModifiedBy>Alberto Piccinini</cp:lastModifiedBy>
  <cp:revision>3</cp:revision>
  <dcterms:created xsi:type="dcterms:W3CDTF">2020-12-03T09:00:00Z</dcterms:created>
  <dcterms:modified xsi:type="dcterms:W3CDTF">2020-12-17T18:10:00Z</dcterms:modified>
</cp:coreProperties>
</file>